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85A26B" w14:textId="77777777" w:rsidR="00093DC3" w:rsidRPr="00D41C61" w:rsidRDefault="00093DC3" w:rsidP="00093DC3">
      <w:pPr>
        <w:pStyle w:val="Heading3"/>
        <w:spacing w:before="0" w:after="0" w:line="264" w:lineRule="auto"/>
        <w:ind w:right="1051"/>
        <w:rPr>
          <w:rFonts w:cs="Times New Roman (Headings CS)"/>
          <w:i/>
          <w:iCs/>
          <w:color w:val="221F1F"/>
          <w:sz w:val="20"/>
          <w:szCs w:val="20"/>
        </w:rPr>
      </w:pPr>
      <w:r w:rsidRPr="00D41C61">
        <w:rPr>
          <w:rFonts w:cs="Times New Roman (Headings CS)"/>
          <w:i/>
          <w:iCs/>
          <w:color w:val="221F1F"/>
          <w:sz w:val="20"/>
          <w:szCs w:val="20"/>
        </w:rPr>
        <w:t xml:space="preserve">From SACSCOC’s “Resource Manual for the Principles of Accreditation: Foundations for Quality Enhancement” (2020). </w:t>
      </w:r>
    </w:p>
    <w:p w14:paraId="3BB4C986" w14:textId="77777777" w:rsidR="00093DC3" w:rsidRDefault="00093DC3" w:rsidP="00093DC3">
      <w:pPr>
        <w:pStyle w:val="Heading3"/>
        <w:spacing w:before="0" w:after="0" w:line="264" w:lineRule="auto"/>
        <w:ind w:right="1051"/>
        <w:rPr>
          <w:rFonts w:cs="Times New Roman (Headings CS)"/>
          <w:color w:val="221F1F"/>
        </w:rPr>
      </w:pPr>
    </w:p>
    <w:p w14:paraId="07D27293" w14:textId="77777777" w:rsidR="001A3CB1" w:rsidRDefault="001A3CB1" w:rsidP="001A3CB1">
      <w:pPr>
        <w:pStyle w:val="Heading3"/>
        <w:spacing w:before="202" w:line="264" w:lineRule="auto"/>
        <w:ind w:left="1080" w:right="1051" w:hanging="1"/>
      </w:pPr>
      <w:r>
        <w:rPr>
          <w:noProof/>
        </w:rPr>
        <mc:AlternateContent>
          <mc:Choice Requires="wpg">
            <w:drawing>
              <wp:anchor distT="0" distB="0" distL="114300" distR="114300" simplePos="0" relativeHeight="251659264" behindDoc="0" locked="0" layoutInCell="1" allowOverlap="1" wp14:anchorId="23265DF3" wp14:editId="11EEF6F1">
                <wp:simplePos x="0" y="0"/>
                <wp:positionH relativeFrom="page">
                  <wp:posOffset>1089660</wp:posOffset>
                </wp:positionH>
                <wp:positionV relativeFrom="paragraph">
                  <wp:posOffset>37465</wp:posOffset>
                </wp:positionV>
                <wp:extent cx="402590" cy="401955"/>
                <wp:effectExtent l="0" t="0" r="3810" b="4445"/>
                <wp:wrapNone/>
                <wp:docPr id="725328309" name="Group 1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2590" cy="401955"/>
                          <a:chOff x="1716" y="59"/>
                          <a:chExt cx="634" cy="633"/>
                        </a:xfrm>
                      </wpg:grpSpPr>
                      <wps:wsp>
                        <wps:cNvPr id="2049797305" name="Freeform 162"/>
                        <wps:cNvSpPr>
                          <a:spLocks/>
                        </wps:cNvSpPr>
                        <wps:spPr bwMode="auto">
                          <a:xfrm>
                            <a:off x="1716" y="59"/>
                            <a:ext cx="634" cy="633"/>
                          </a:xfrm>
                          <a:custGeom>
                            <a:avLst/>
                            <a:gdLst>
                              <a:gd name="T0" fmla="+- 0 2033 1716"/>
                              <a:gd name="T1" fmla="*/ T0 w 634"/>
                              <a:gd name="T2" fmla="+- 0 59 59"/>
                              <a:gd name="T3" fmla="*/ 59 h 633"/>
                              <a:gd name="T4" fmla="+- 0 1957 1716"/>
                              <a:gd name="T5" fmla="*/ T4 w 634"/>
                              <a:gd name="T6" fmla="+- 0 68 59"/>
                              <a:gd name="T7" fmla="*/ 68 h 633"/>
                              <a:gd name="T8" fmla="+- 0 1887 1716"/>
                              <a:gd name="T9" fmla="*/ T8 w 634"/>
                              <a:gd name="T10" fmla="+- 0 94 59"/>
                              <a:gd name="T11" fmla="*/ 94 h 633"/>
                              <a:gd name="T12" fmla="+- 0 1827 1716"/>
                              <a:gd name="T13" fmla="*/ T12 w 634"/>
                              <a:gd name="T14" fmla="+- 0 135 59"/>
                              <a:gd name="T15" fmla="*/ 135 h 633"/>
                              <a:gd name="T16" fmla="+- 0 1777 1716"/>
                              <a:gd name="T17" fmla="*/ T16 w 634"/>
                              <a:gd name="T18" fmla="+- 0 188 59"/>
                              <a:gd name="T19" fmla="*/ 188 h 633"/>
                              <a:gd name="T20" fmla="+- 0 1741 1716"/>
                              <a:gd name="T21" fmla="*/ T20 w 634"/>
                              <a:gd name="T22" fmla="+- 0 252 59"/>
                              <a:gd name="T23" fmla="*/ 252 h 633"/>
                              <a:gd name="T24" fmla="+- 0 1720 1716"/>
                              <a:gd name="T25" fmla="*/ T24 w 634"/>
                              <a:gd name="T26" fmla="+- 0 324 59"/>
                              <a:gd name="T27" fmla="*/ 324 h 633"/>
                              <a:gd name="T28" fmla="+- 0 1716 1716"/>
                              <a:gd name="T29" fmla="*/ T28 w 634"/>
                              <a:gd name="T30" fmla="+- 0 376 59"/>
                              <a:gd name="T31" fmla="*/ 376 h 633"/>
                              <a:gd name="T32" fmla="+- 0 1717 1716"/>
                              <a:gd name="T33" fmla="*/ T32 w 634"/>
                              <a:gd name="T34" fmla="+- 0 402 59"/>
                              <a:gd name="T35" fmla="*/ 402 h 633"/>
                              <a:gd name="T36" fmla="+- 0 1732 1716"/>
                              <a:gd name="T37" fmla="*/ T36 w 634"/>
                              <a:gd name="T38" fmla="+- 0 476 59"/>
                              <a:gd name="T39" fmla="*/ 476 h 633"/>
                              <a:gd name="T40" fmla="+- 0 1763 1716"/>
                              <a:gd name="T41" fmla="*/ T40 w 634"/>
                              <a:gd name="T42" fmla="+- 0 542 59"/>
                              <a:gd name="T43" fmla="*/ 542 h 633"/>
                              <a:gd name="T44" fmla="+- 0 1809 1716"/>
                              <a:gd name="T45" fmla="*/ T44 w 634"/>
                              <a:gd name="T46" fmla="+- 0 600 59"/>
                              <a:gd name="T47" fmla="*/ 600 h 633"/>
                              <a:gd name="T48" fmla="+- 0 1866 1716"/>
                              <a:gd name="T49" fmla="*/ T48 w 634"/>
                              <a:gd name="T50" fmla="+- 0 645 59"/>
                              <a:gd name="T51" fmla="*/ 645 h 633"/>
                              <a:gd name="T52" fmla="+- 0 1933 1716"/>
                              <a:gd name="T53" fmla="*/ T52 w 634"/>
                              <a:gd name="T54" fmla="+- 0 676 59"/>
                              <a:gd name="T55" fmla="*/ 676 h 633"/>
                              <a:gd name="T56" fmla="+- 0 2007 1716"/>
                              <a:gd name="T57" fmla="*/ T56 w 634"/>
                              <a:gd name="T58" fmla="+- 0 691 59"/>
                              <a:gd name="T59" fmla="*/ 691 h 633"/>
                              <a:gd name="T60" fmla="+- 0 2033 1716"/>
                              <a:gd name="T61" fmla="*/ T60 w 634"/>
                              <a:gd name="T62" fmla="+- 0 692 59"/>
                              <a:gd name="T63" fmla="*/ 692 h 633"/>
                              <a:gd name="T64" fmla="+- 0 2059 1716"/>
                              <a:gd name="T65" fmla="*/ T64 w 634"/>
                              <a:gd name="T66" fmla="+- 0 691 59"/>
                              <a:gd name="T67" fmla="*/ 691 h 633"/>
                              <a:gd name="T68" fmla="+- 0 2133 1716"/>
                              <a:gd name="T69" fmla="*/ T68 w 634"/>
                              <a:gd name="T70" fmla="+- 0 676 59"/>
                              <a:gd name="T71" fmla="*/ 676 h 633"/>
                              <a:gd name="T72" fmla="+- 0 2200 1716"/>
                              <a:gd name="T73" fmla="*/ T72 w 634"/>
                              <a:gd name="T74" fmla="+- 0 645 59"/>
                              <a:gd name="T75" fmla="*/ 645 h 633"/>
                              <a:gd name="T76" fmla="+- 0 2257 1716"/>
                              <a:gd name="T77" fmla="*/ T76 w 634"/>
                              <a:gd name="T78" fmla="+- 0 600 59"/>
                              <a:gd name="T79" fmla="*/ 600 h 633"/>
                              <a:gd name="T80" fmla="+- 0 2302 1716"/>
                              <a:gd name="T81" fmla="*/ T80 w 634"/>
                              <a:gd name="T82" fmla="+- 0 542 59"/>
                              <a:gd name="T83" fmla="*/ 542 h 633"/>
                              <a:gd name="T84" fmla="+- 0 2333 1716"/>
                              <a:gd name="T85" fmla="*/ T84 w 634"/>
                              <a:gd name="T86" fmla="+- 0 476 59"/>
                              <a:gd name="T87" fmla="*/ 476 h 633"/>
                              <a:gd name="T88" fmla="+- 0 2349 1716"/>
                              <a:gd name="T89" fmla="*/ T88 w 634"/>
                              <a:gd name="T90" fmla="+- 0 402 59"/>
                              <a:gd name="T91" fmla="*/ 402 h 633"/>
                              <a:gd name="T92" fmla="+- 0 2350 1716"/>
                              <a:gd name="T93" fmla="*/ T92 w 634"/>
                              <a:gd name="T94" fmla="+- 0 376 59"/>
                              <a:gd name="T95" fmla="*/ 376 h 633"/>
                              <a:gd name="T96" fmla="+- 0 2349 1716"/>
                              <a:gd name="T97" fmla="*/ T96 w 634"/>
                              <a:gd name="T98" fmla="+- 0 350 59"/>
                              <a:gd name="T99" fmla="*/ 350 h 633"/>
                              <a:gd name="T100" fmla="+- 0 2333 1716"/>
                              <a:gd name="T101" fmla="*/ T100 w 634"/>
                              <a:gd name="T102" fmla="+- 0 275 59"/>
                              <a:gd name="T103" fmla="*/ 275 h 633"/>
                              <a:gd name="T104" fmla="+- 0 2302 1716"/>
                              <a:gd name="T105" fmla="*/ T104 w 634"/>
                              <a:gd name="T106" fmla="+- 0 209 59"/>
                              <a:gd name="T107" fmla="*/ 209 h 633"/>
                              <a:gd name="T108" fmla="+- 0 2257 1716"/>
                              <a:gd name="T109" fmla="*/ T108 w 634"/>
                              <a:gd name="T110" fmla="+- 0 152 59"/>
                              <a:gd name="T111" fmla="*/ 152 h 633"/>
                              <a:gd name="T112" fmla="+- 0 2200 1716"/>
                              <a:gd name="T113" fmla="*/ T112 w 634"/>
                              <a:gd name="T114" fmla="+- 0 106 59"/>
                              <a:gd name="T115" fmla="*/ 106 h 633"/>
                              <a:gd name="T116" fmla="+- 0 2133 1716"/>
                              <a:gd name="T117" fmla="*/ T116 w 634"/>
                              <a:gd name="T118" fmla="+- 0 75 59"/>
                              <a:gd name="T119" fmla="*/ 75 h 633"/>
                              <a:gd name="T120" fmla="+- 0 2059 1716"/>
                              <a:gd name="T121" fmla="*/ T120 w 634"/>
                              <a:gd name="T122" fmla="+- 0 60 59"/>
                              <a:gd name="T123" fmla="*/ 60 h 633"/>
                              <a:gd name="T124" fmla="+- 0 2033 1716"/>
                              <a:gd name="T125" fmla="*/ T124 w 634"/>
                              <a:gd name="T126" fmla="+- 0 59 59"/>
                              <a:gd name="T127" fmla="*/ 59 h 6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634" h="633">
                                <a:moveTo>
                                  <a:pt x="317" y="0"/>
                                </a:moveTo>
                                <a:lnTo>
                                  <a:pt x="241" y="9"/>
                                </a:lnTo>
                                <a:lnTo>
                                  <a:pt x="171" y="35"/>
                                </a:lnTo>
                                <a:lnTo>
                                  <a:pt x="111" y="76"/>
                                </a:lnTo>
                                <a:lnTo>
                                  <a:pt x="61" y="129"/>
                                </a:lnTo>
                                <a:lnTo>
                                  <a:pt x="25" y="193"/>
                                </a:lnTo>
                                <a:lnTo>
                                  <a:pt x="4" y="265"/>
                                </a:lnTo>
                                <a:lnTo>
                                  <a:pt x="0" y="317"/>
                                </a:lnTo>
                                <a:lnTo>
                                  <a:pt x="1" y="343"/>
                                </a:lnTo>
                                <a:lnTo>
                                  <a:pt x="16" y="417"/>
                                </a:lnTo>
                                <a:lnTo>
                                  <a:pt x="47" y="483"/>
                                </a:lnTo>
                                <a:lnTo>
                                  <a:pt x="93" y="541"/>
                                </a:lnTo>
                                <a:lnTo>
                                  <a:pt x="150" y="586"/>
                                </a:lnTo>
                                <a:lnTo>
                                  <a:pt x="217" y="617"/>
                                </a:lnTo>
                                <a:lnTo>
                                  <a:pt x="291" y="632"/>
                                </a:lnTo>
                                <a:lnTo>
                                  <a:pt x="317" y="633"/>
                                </a:lnTo>
                                <a:lnTo>
                                  <a:pt x="343" y="632"/>
                                </a:lnTo>
                                <a:lnTo>
                                  <a:pt x="417" y="617"/>
                                </a:lnTo>
                                <a:lnTo>
                                  <a:pt x="484" y="586"/>
                                </a:lnTo>
                                <a:lnTo>
                                  <a:pt x="541" y="541"/>
                                </a:lnTo>
                                <a:lnTo>
                                  <a:pt x="586" y="483"/>
                                </a:lnTo>
                                <a:lnTo>
                                  <a:pt x="617" y="417"/>
                                </a:lnTo>
                                <a:lnTo>
                                  <a:pt x="633" y="343"/>
                                </a:lnTo>
                                <a:lnTo>
                                  <a:pt x="634" y="317"/>
                                </a:lnTo>
                                <a:lnTo>
                                  <a:pt x="633" y="291"/>
                                </a:lnTo>
                                <a:lnTo>
                                  <a:pt x="617" y="216"/>
                                </a:lnTo>
                                <a:lnTo>
                                  <a:pt x="586" y="150"/>
                                </a:lnTo>
                                <a:lnTo>
                                  <a:pt x="541" y="93"/>
                                </a:lnTo>
                                <a:lnTo>
                                  <a:pt x="484" y="47"/>
                                </a:lnTo>
                                <a:lnTo>
                                  <a:pt x="417" y="16"/>
                                </a:lnTo>
                                <a:lnTo>
                                  <a:pt x="343" y="1"/>
                                </a:lnTo>
                                <a:lnTo>
                                  <a:pt x="317" y="0"/>
                                </a:lnTo>
                                <a:close/>
                              </a:path>
                            </a:pathLst>
                          </a:custGeom>
                          <a:solidFill>
                            <a:srgbClr val="0061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4118079" name="Text Box 163"/>
                        <wps:cNvSpPr txBox="1">
                          <a:spLocks/>
                        </wps:cNvSpPr>
                        <wps:spPr bwMode="auto">
                          <a:xfrm>
                            <a:off x="1716" y="59"/>
                            <a:ext cx="634" cy="6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82E2A7" w14:textId="77777777" w:rsidR="001A3CB1" w:rsidRDefault="001A3CB1" w:rsidP="001A3CB1">
                              <w:pPr>
                                <w:spacing w:before="171"/>
                                <w:ind w:left="155"/>
                                <w:rPr>
                                  <w:b/>
                                  <w:sz w:val="26"/>
                                </w:rPr>
                              </w:pPr>
                              <w:r>
                                <w:rPr>
                                  <w:b/>
                                  <w:color w:val="FFFFFF"/>
                                  <w:sz w:val="26"/>
                                </w:rPr>
                                <w:t>8.2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265DF3" id="Group 161" o:spid="_x0000_s1026" style="position:absolute;left:0;text-align:left;margin-left:85.8pt;margin-top:2.95pt;width:31.7pt;height:31.65pt;z-index:251659264;mso-position-horizontal-relative:page" coordorigin="1716,59" coordsize="634,63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">
                <v:shape id="Freeform 162" o:spid="_x0000_s1027" style="position:absolute;left:1716;top:59;width:634;height:633;visibility:visible;mso-wrap-style:square;v-text-anchor:top" coordsize="634,6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" path="m317,l241,9,171,35,111,76,61,129,25,193,4,265,,317r1,26l16,417r31,66l93,541r57,45l217,617r74,15l317,633r26,-1l417,617r67,-31l541,541r45,-58l617,417r16,-74l634,317r-1,-26l617,216,586,150,541,93,484,47,417,16,343,1,317,xe" fillcolor="#00619a" stroked="f">
                  <v:path arrowok="t" o:connecttype="custom" o:connectlocs="317,59;241,68;171,94;111,135;61,188;25,252;4,324;0,376;1,402;16,476;47,542;93,600;150,645;217,676;291,691;317,692;343,691;417,676;484,645;541,600;586,542;617,476;633,402;634,376;633,350;617,275;586,209;541,152;484,106;417,75;343,60;317,59" o:connectangles="0,0,0,0,0,0,0,0,0,0,0,0,0,0,0,0,0,0,0,0,0,0,0,0,0,0,0,0,0,0,0,0"/>
                </v:shape>
                <v:shapetype id="_x0000_t202" coordsize="21600,21600" o:spt="202" path="m,l,21600r21600,l21600,xe">
                  <v:stroke joinstyle="miter"/>
                  <v:path gradientshapeok="t" o:connecttype="rect"/>
                </v:shapetype>
                <v:shape id="Text Box 163" o:spid="_x0000_s1028" type="#_x0000_t202" style="position:absolute;left:1716;top:59;width:634;height:63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" filled="f" stroked="f">
                  <v:path arrowok="t"/>
                  <v:textbox inset="0,0,0,0">
                    <w:txbxContent>
                      <w:p w14:paraId="3482E2A7" w14:textId="77777777" w:rsidR="001A3CB1" w:rsidRDefault="001A3CB1" w:rsidP="001A3CB1">
                        <w:pPr>
                          <w:spacing w:before="171"/>
                          <w:ind w:left="155"/>
                          <w:rPr>
                            <w:b/>
                            <w:sz w:val="26"/>
                          </w:rPr>
                        </w:pPr>
                        <w:r>
                          <w:rPr>
                            <w:b/>
                            <w:color w:val="FFFFFF"/>
                            <w:sz w:val="26"/>
                          </w:rPr>
                          <w:t>8.2</w:t>
                        </w:r>
                      </w:p>
                    </w:txbxContent>
                  </v:textbox>
                </v:shape>
                <w10:wrap anchorx="page"/>
              </v:group>
            </w:pict>
          </mc:Fallback>
        </mc:AlternateContent>
      </w:r>
      <w:r>
        <w:rPr>
          <w:color w:val="221F1F"/>
        </w:rPr>
        <w:t>The</w:t>
      </w:r>
      <w:r>
        <w:rPr>
          <w:color w:val="221F1F"/>
          <w:spacing w:val="-49"/>
        </w:rPr>
        <w:t xml:space="preserve"> </w:t>
      </w:r>
      <w:r>
        <w:t>institution identifies expected outcomes, assesses the extent to which it achieves these outcomes, and provides evidence of seeking improvement based on analysis of the results in the areas</w:t>
      </w:r>
      <w:r>
        <w:rPr>
          <w:spacing w:val="-12"/>
        </w:rPr>
        <w:t xml:space="preserve"> </w:t>
      </w:r>
      <w:r>
        <w:t>below:</w:t>
      </w:r>
    </w:p>
    <w:p w14:paraId="2F823943" w14:textId="77777777" w:rsidR="001A3CB1" w:rsidRDefault="001A3CB1" w:rsidP="001A3CB1">
      <w:pPr>
        <w:pStyle w:val="ListParagraph"/>
        <w:numPr>
          <w:ilvl w:val="0"/>
          <w:numId w:val="1"/>
        </w:numPr>
        <w:tabs>
          <w:tab w:val="left" w:pos="1530"/>
        </w:tabs>
        <w:spacing w:before="88"/>
        <w:ind w:left="1530"/>
        <w:contextualSpacing w:val="0"/>
        <w:rPr>
          <w:b/>
          <w:sz w:val="26"/>
        </w:rPr>
      </w:pPr>
      <w:r>
        <w:rPr>
          <w:b/>
          <w:color w:val="221F1F"/>
          <w:sz w:val="26"/>
        </w:rPr>
        <w:t>Student</w:t>
      </w:r>
      <w:r>
        <w:rPr>
          <w:b/>
          <w:color w:val="221F1F"/>
          <w:spacing w:val="-40"/>
          <w:sz w:val="26"/>
        </w:rPr>
        <w:t xml:space="preserve"> </w:t>
      </w:r>
      <w:r>
        <w:rPr>
          <w:b/>
          <w:color w:val="221F1F"/>
          <w:sz w:val="26"/>
        </w:rPr>
        <w:t>learning</w:t>
      </w:r>
      <w:r>
        <w:rPr>
          <w:b/>
          <w:color w:val="221F1F"/>
          <w:spacing w:val="-38"/>
          <w:sz w:val="26"/>
        </w:rPr>
        <w:t xml:space="preserve"> </w:t>
      </w:r>
      <w:r>
        <w:rPr>
          <w:b/>
          <w:color w:val="221F1F"/>
          <w:sz w:val="26"/>
        </w:rPr>
        <w:t>outcomes</w:t>
      </w:r>
      <w:r>
        <w:rPr>
          <w:b/>
          <w:color w:val="221F1F"/>
          <w:spacing w:val="-37"/>
          <w:sz w:val="26"/>
        </w:rPr>
        <w:t xml:space="preserve"> </w:t>
      </w:r>
      <w:r>
        <w:rPr>
          <w:b/>
          <w:color w:val="221F1F"/>
          <w:sz w:val="26"/>
        </w:rPr>
        <w:t>for</w:t>
      </w:r>
      <w:r>
        <w:rPr>
          <w:b/>
          <w:color w:val="221F1F"/>
          <w:spacing w:val="-40"/>
          <w:sz w:val="26"/>
        </w:rPr>
        <w:t xml:space="preserve"> </w:t>
      </w:r>
      <w:r>
        <w:rPr>
          <w:b/>
          <w:color w:val="221F1F"/>
          <w:sz w:val="26"/>
        </w:rPr>
        <w:t>each</w:t>
      </w:r>
      <w:r>
        <w:rPr>
          <w:b/>
          <w:color w:val="221F1F"/>
          <w:spacing w:val="-38"/>
          <w:sz w:val="26"/>
        </w:rPr>
        <w:t xml:space="preserve"> </w:t>
      </w:r>
      <w:r>
        <w:rPr>
          <w:b/>
          <w:color w:val="221F1F"/>
          <w:sz w:val="26"/>
        </w:rPr>
        <w:t>of</w:t>
      </w:r>
      <w:r>
        <w:rPr>
          <w:b/>
          <w:color w:val="221F1F"/>
          <w:spacing w:val="-35"/>
          <w:sz w:val="26"/>
        </w:rPr>
        <w:t xml:space="preserve"> </w:t>
      </w:r>
      <w:r>
        <w:rPr>
          <w:b/>
          <w:color w:val="221F1F"/>
          <w:sz w:val="26"/>
        </w:rPr>
        <w:t>its</w:t>
      </w:r>
      <w:r>
        <w:rPr>
          <w:b/>
          <w:color w:val="221F1F"/>
          <w:spacing w:val="-38"/>
          <w:sz w:val="26"/>
        </w:rPr>
        <w:t xml:space="preserve"> </w:t>
      </w:r>
      <w:r>
        <w:rPr>
          <w:b/>
          <w:color w:val="221F1F"/>
          <w:sz w:val="26"/>
        </w:rPr>
        <w:t>educational</w:t>
      </w:r>
      <w:r>
        <w:rPr>
          <w:b/>
          <w:color w:val="221F1F"/>
          <w:spacing w:val="-40"/>
          <w:sz w:val="26"/>
        </w:rPr>
        <w:t xml:space="preserve"> </w:t>
      </w:r>
      <w:r>
        <w:rPr>
          <w:b/>
          <w:color w:val="221F1F"/>
          <w:sz w:val="26"/>
        </w:rPr>
        <w:t>programs.</w:t>
      </w:r>
    </w:p>
    <w:p w14:paraId="31DB7A3C" w14:textId="77777777" w:rsidR="001A3CB1" w:rsidRDefault="001A3CB1" w:rsidP="001A3CB1">
      <w:pPr>
        <w:tabs>
          <w:tab w:val="left" w:pos="1530"/>
        </w:tabs>
        <w:spacing w:before="33"/>
        <w:ind w:left="1530"/>
        <w:rPr>
          <w:i/>
          <w:sz w:val="26"/>
        </w:rPr>
      </w:pPr>
      <w:r>
        <w:rPr>
          <w:i/>
          <w:color w:val="221F1F"/>
          <w:w w:val="95"/>
          <w:sz w:val="26"/>
        </w:rPr>
        <w:t>(Student outcomes: educational</w:t>
      </w:r>
      <w:r>
        <w:rPr>
          <w:i/>
          <w:color w:val="221F1F"/>
          <w:spacing w:val="-40"/>
          <w:w w:val="95"/>
          <w:sz w:val="26"/>
        </w:rPr>
        <w:t xml:space="preserve"> </w:t>
      </w:r>
      <w:r>
        <w:rPr>
          <w:i/>
          <w:color w:val="221F1F"/>
          <w:w w:val="95"/>
          <w:sz w:val="26"/>
        </w:rPr>
        <w:t>programs)</w:t>
      </w:r>
    </w:p>
    <w:p w14:paraId="4BED20CB" w14:textId="77777777" w:rsidR="001A3CB1" w:rsidRDefault="001A3CB1" w:rsidP="001A3CB1">
      <w:pPr>
        <w:pStyle w:val="Heading3"/>
        <w:numPr>
          <w:ilvl w:val="0"/>
          <w:numId w:val="1"/>
        </w:numPr>
        <w:tabs>
          <w:tab w:val="num" w:pos="360"/>
          <w:tab w:val="left" w:pos="1530"/>
        </w:tabs>
        <w:spacing w:before="121" w:line="264" w:lineRule="auto"/>
        <w:ind w:left="1530" w:right="1544"/>
      </w:pPr>
      <w:r>
        <w:rPr>
          <w:color w:val="221F1F"/>
        </w:rPr>
        <w:t xml:space="preserve">Student </w:t>
      </w:r>
      <w:r>
        <w:t>learning outcomes for collegiate-level general education competencies of its undergraduate degree</w:t>
      </w:r>
      <w:r>
        <w:rPr>
          <w:spacing w:val="-7"/>
        </w:rPr>
        <w:t xml:space="preserve"> </w:t>
      </w:r>
      <w:r>
        <w:t>programs.</w:t>
      </w:r>
    </w:p>
    <w:p w14:paraId="630FF325" w14:textId="77777777" w:rsidR="001A3CB1" w:rsidRDefault="001A3CB1" w:rsidP="001A3CB1">
      <w:pPr>
        <w:tabs>
          <w:tab w:val="left" w:pos="1530"/>
        </w:tabs>
        <w:ind w:left="1530"/>
        <w:rPr>
          <w:b/>
          <w:sz w:val="26"/>
        </w:rPr>
      </w:pPr>
      <w:r>
        <w:rPr>
          <w:i/>
          <w:color w:val="221F1F"/>
          <w:w w:val="95"/>
          <w:sz w:val="26"/>
        </w:rPr>
        <w:t>(Student</w:t>
      </w:r>
      <w:r>
        <w:rPr>
          <w:i/>
          <w:color w:val="221F1F"/>
          <w:spacing w:val="-17"/>
          <w:w w:val="95"/>
          <w:sz w:val="26"/>
        </w:rPr>
        <w:t xml:space="preserve"> </w:t>
      </w:r>
      <w:r>
        <w:rPr>
          <w:i/>
          <w:color w:val="221F1F"/>
          <w:w w:val="95"/>
          <w:sz w:val="26"/>
        </w:rPr>
        <w:t>outcomes:</w:t>
      </w:r>
      <w:r>
        <w:rPr>
          <w:i/>
          <w:color w:val="221F1F"/>
          <w:spacing w:val="-17"/>
          <w:w w:val="95"/>
          <w:sz w:val="26"/>
        </w:rPr>
        <w:t xml:space="preserve"> </w:t>
      </w:r>
      <w:r>
        <w:rPr>
          <w:i/>
          <w:color w:val="221F1F"/>
          <w:w w:val="95"/>
          <w:sz w:val="26"/>
        </w:rPr>
        <w:t>general</w:t>
      </w:r>
      <w:r>
        <w:rPr>
          <w:i/>
          <w:color w:val="221F1F"/>
          <w:spacing w:val="-15"/>
          <w:w w:val="95"/>
          <w:sz w:val="26"/>
        </w:rPr>
        <w:t xml:space="preserve"> </w:t>
      </w:r>
      <w:r>
        <w:rPr>
          <w:i/>
          <w:color w:val="221F1F"/>
          <w:w w:val="95"/>
          <w:sz w:val="26"/>
        </w:rPr>
        <w:t>education</w:t>
      </w:r>
      <w:r>
        <w:rPr>
          <w:b/>
          <w:color w:val="221F1F"/>
          <w:w w:val="95"/>
          <w:sz w:val="26"/>
        </w:rPr>
        <w:t>)</w:t>
      </w:r>
    </w:p>
    <w:p w14:paraId="75EFC5C1" w14:textId="77777777" w:rsidR="001A3CB1" w:rsidRDefault="001A3CB1" w:rsidP="001A3CB1">
      <w:pPr>
        <w:pStyle w:val="Heading3"/>
        <w:numPr>
          <w:ilvl w:val="0"/>
          <w:numId w:val="1"/>
        </w:numPr>
        <w:tabs>
          <w:tab w:val="num" w:pos="360"/>
          <w:tab w:val="left" w:pos="1530"/>
        </w:tabs>
        <w:spacing w:before="121"/>
        <w:ind w:left="1530"/>
      </w:pPr>
      <w:r>
        <w:rPr>
          <w:color w:val="221F1F"/>
        </w:rPr>
        <w:t>Academic</w:t>
      </w:r>
      <w:r>
        <w:rPr>
          <w:color w:val="221F1F"/>
          <w:spacing w:val="-47"/>
        </w:rPr>
        <w:t xml:space="preserve"> </w:t>
      </w:r>
      <w:r>
        <w:rPr>
          <w:color w:val="221F1F"/>
        </w:rPr>
        <w:t>and</w:t>
      </w:r>
      <w:r>
        <w:rPr>
          <w:color w:val="221F1F"/>
          <w:spacing w:val="-44"/>
        </w:rPr>
        <w:t xml:space="preserve"> </w:t>
      </w:r>
      <w:r>
        <w:rPr>
          <w:color w:val="221F1F"/>
        </w:rPr>
        <w:t>student</w:t>
      </w:r>
      <w:r>
        <w:rPr>
          <w:color w:val="221F1F"/>
          <w:spacing w:val="-46"/>
        </w:rPr>
        <w:t xml:space="preserve"> </w:t>
      </w:r>
      <w:r>
        <w:rPr>
          <w:color w:val="221F1F"/>
        </w:rPr>
        <w:t>services</w:t>
      </w:r>
      <w:r>
        <w:rPr>
          <w:color w:val="221F1F"/>
          <w:spacing w:val="-43"/>
        </w:rPr>
        <w:t xml:space="preserve"> </w:t>
      </w:r>
      <w:r>
        <w:rPr>
          <w:color w:val="221F1F"/>
        </w:rPr>
        <w:t>that</w:t>
      </w:r>
      <w:r>
        <w:rPr>
          <w:color w:val="221F1F"/>
          <w:spacing w:val="-43"/>
        </w:rPr>
        <w:t xml:space="preserve"> </w:t>
      </w:r>
      <w:r>
        <w:rPr>
          <w:color w:val="221F1F"/>
        </w:rPr>
        <w:t>support</w:t>
      </w:r>
      <w:r>
        <w:rPr>
          <w:color w:val="221F1F"/>
          <w:spacing w:val="-43"/>
        </w:rPr>
        <w:t xml:space="preserve"> </w:t>
      </w:r>
      <w:r>
        <w:rPr>
          <w:color w:val="221F1F"/>
        </w:rPr>
        <w:t>student</w:t>
      </w:r>
      <w:r>
        <w:rPr>
          <w:color w:val="221F1F"/>
          <w:spacing w:val="-44"/>
        </w:rPr>
        <w:t xml:space="preserve"> </w:t>
      </w:r>
      <w:r>
        <w:rPr>
          <w:color w:val="221F1F"/>
        </w:rPr>
        <w:t>success.</w:t>
      </w:r>
    </w:p>
    <w:p w14:paraId="0A826BDC" w14:textId="77777777" w:rsidR="001A3CB1" w:rsidRDefault="001A3CB1" w:rsidP="001A3CB1">
      <w:pPr>
        <w:tabs>
          <w:tab w:val="left" w:pos="1530"/>
        </w:tabs>
        <w:spacing w:before="29"/>
        <w:ind w:left="1530"/>
        <w:rPr>
          <w:i/>
          <w:sz w:val="26"/>
        </w:rPr>
      </w:pPr>
      <w:r>
        <w:rPr>
          <w:i/>
          <w:color w:val="221F1F"/>
          <w:w w:val="95"/>
          <w:sz w:val="26"/>
        </w:rPr>
        <w:t>(Student</w:t>
      </w:r>
      <w:r>
        <w:rPr>
          <w:i/>
          <w:color w:val="221F1F"/>
          <w:spacing w:val="-11"/>
          <w:w w:val="95"/>
          <w:sz w:val="26"/>
        </w:rPr>
        <w:t xml:space="preserve"> </w:t>
      </w:r>
      <w:r>
        <w:rPr>
          <w:i/>
          <w:color w:val="221F1F"/>
          <w:w w:val="95"/>
          <w:sz w:val="26"/>
        </w:rPr>
        <w:t>outcomes:</w:t>
      </w:r>
      <w:r>
        <w:rPr>
          <w:i/>
          <w:color w:val="221F1F"/>
          <w:spacing w:val="-11"/>
          <w:w w:val="95"/>
          <w:sz w:val="26"/>
        </w:rPr>
        <w:t xml:space="preserve"> </w:t>
      </w:r>
      <w:r>
        <w:rPr>
          <w:i/>
          <w:color w:val="221F1F"/>
          <w:w w:val="95"/>
          <w:sz w:val="26"/>
        </w:rPr>
        <w:t>academic</w:t>
      </w:r>
      <w:r>
        <w:rPr>
          <w:i/>
          <w:color w:val="221F1F"/>
          <w:spacing w:val="-10"/>
          <w:w w:val="95"/>
          <w:sz w:val="26"/>
        </w:rPr>
        <w:t xml:space="preserve"> </w:t>
      </w:r>
      <w:r>
        <w:rPr>
          <w:i/>
          <w:color w:val="221F1F"/>
          <w:w w:val="95"/>
          <w:sz w:val="26"/>
        </w:rPr>
        <w:t>and</w:t>
      </w:r>
      <w:r>
        <w:rPr>
          <w:i/>
          <w:color w:val="221F1F"/>
          <w:spacing w:val="-8"/>
          <w:w w:val="95"/>
          <w:sz w:val="26"/>
        </w:rPr>
        <w:t xml:space="preserve"> </w:t>
      </w:r>
      <w:r>
        <w:rPr>
          <w:i/>
          <w:color w:val="221F1F"/>
          <w:w w:val="95"/>
          <w:sz w:val="26"/>
        </w:rPr>
        <w:t>student</w:t>
      </w:r>
      <w:r>
        <w:rPr>
          <w:i/>
          <w:color w:val="221F1F"/>
          <w:spacing w:val="-9"/>
          <w:w w:val="95"/>
          <w:sz w:val="26"/>
        </w:rPr>
        <w:t xml:space="preserve"> </w:t>
      </w:r>
      <w:r>
        <w:rPr>
          <w:i/>
          <w:color w:val="221F1F"/>
          <w:w w:val="95"/>
          <w:sz w:val="26"/>
        </w:rPr>
        <w:t>services)</w:t>
      </w:r>
    </w:p>
    <w:p w14:paraId="48709C3B" w14:textId="77777777" w:rsidR="001A3CB1" w:rsidRDefault="001A3CB1" w:rsidP="001A3CB1">
      <w:pPr>
        <w:pStyle w:val="BodyText"/>
        <w:spacing w:before="6"/>
        <w:rPr>
          <w:i/>
          <w:sz w:val="36"/>
        </w:rPr>
      </w:pPr>
    </w:p>
    <w:p w14:paraId="2AA19A1E" w14:textId="77777777" w:rsidR="001A3CB1" w:rsidRDefault="001A3CB1" w:rsidP="001A3CB1">
      <w:pPr>
        <w:pStyle w:val="Heading3"/>
        <w:rPr>
          <w:rFonts w:ascii="Arial"/>
        </w:rPr>
      </w:pPr>
      <w:r>
        <w:rPr>
          <w:rFonts w:ascii="Arial"/>
          <w:color w:val="00619A"/>
          <w:w w:val="85"/>
        </w:rPr>
        <w:t>Rationale</w:t>
      </w:r>
      <w:r>
        <w:rPr>
          <w:rFonts w:ascii="Arial"/>
          <w:color w:val="00619A"/>
          <w:spacing w:val="-36"/>
          <w:w w:val="85"/>
        </w:rPr>
        <w:t xml:space="preserve"> </w:t>
      </w:r>
      <w:r>
        <w:rPr>
          <w:rFonts w:ascii="Arial"/>
          <w:color w:val="00619A"/>
          <w:w w:val="85"/>
        </w:rPr>
        <w:t>and</w:t>
      </w:r>
      <w:r>
        <w:rPr>
          <w:rFonts w:ascii="Arial"/>
          <w:color w:val="00619A"/>
          <w:spacing w:val="-34"/>
          <w:w w:val="85"/>
        </w:rPr>
        <w:t xml:space="preserve"> </w:t>
      </w:r>
      <w:r>
        <w:rPr>
          <w:rFonts w:ascii="Arial"/>
          <w:color w:val="00619A"/>
          <w:w w:val="85"/>
        </w:rPr>
        <w:t>Notes</w:t>
      </w:r>
    </w:p>
    <w:p w14:paraId="14A24A84" w14:textId="77777777" w:rsidR="001A3CB1" w:rsidRDefault="001A3CB1" w:rsidP="001A3CB1">
      <w:pPr>
        <w:pStyle w:val="BodyText"/>
        <w:spacing w:before="109" w:line="276" w:lineRule="auto"/>
        <w:ind w:left="360" w:right="1249"/>
      </w:pPr>
      <w:r>
        <w:t>Student outcomes—both within the classroom and outside of the classroom—are the heart of the higher education experience. Effective institutions focus on the design and improvement</w:t>
      </w:r>
      <w:r>
        <w:rPr>
          <w:spacing w:val="-16"/>
        </w:rPr>
        <w:t xml:space="preserve"> </w:t>
      </w:r>
      <w:r>
        <w:t>of</w:t>
      </w:r>
    </w:p>
    <w:p w14:paraId="039E869A" w14:textId="2F1685F8" w:rsidR="001A3CB1" w:rsidRDefault="001A3CB1" w:rsidP="001A3CB1">
      <w:pPr>
        <w:pStyle w:val="BodyText"/>
        <w:spacing w:line="276" w:lineRule="auto"/>
        <w:ind w:left="360" w:right="1074"/>
      </w:pPr>
      <w:r>
        <w:t>educational experiences to enhance student learning and support appropriate student outcomes for its educational programs and related academic and student services that support student success. To meet the goals of educational programs, an institution is always asking itself whether it has met those goals and how it can become even</w:t>
      </w:r>
      <w:r>
        <w:rPr>
          <w:spacing w:val="-11"/>
        </w:rPr>
        <w:t xml:space="preserve"> </w:t>
      </w:r>
      <w:r>
        <w:t>better.</w:t>
      </w:r>
    </w:p>
    <w:p w14:paraId="739E68AE" w14:textId="77777777" w:rsidR="001A3CB1" w:rsidRDefault="001A3CB1" w:rsidP="001A3CB1">
      <w:pPr>
        <w:pStyle w:val="BodyText"/>
        <w:spacing w:before="93" w:line="276" w:lineRule="auto"/>
        <w:ind w:left="360" w:right="1269" w:firstLine="359"/>
      </w:pPr>
      <w:r>
        <w:t xml:space="preserve">Even though the concept of institutional effectiveness may not be explicitly referenced in </w:t>
      </w:r>
      <w:proofErr w:type="gramStart"/>
      <w:r>
        <w:t>all of</w:t>
      </w:r>
      <w:proofErr w:type="gramEnd"/>
      <w:r>
        <w:t xml:space="preserve"> the standards, the accreditation process assumes that all programs and services, wherever offered within the context of the institution’s mission and activity, are reviewed as part of the institutional effectiveness process.</w:t>
      </w:r>
    </w:p>
    <w:p w14:paraId="1F22D7E5" w14:textId="77777777" w:rsidR="001A3CB1" w:rsidRDefault="001A3CB1" w:rsidP="001A3CB1">
      <w:pPr>
        <w:pStyle w:val="BodyText"/>
        <w:spacing w:before="94" w:line="276" w:lineRule="auto"/>
        <w:ind w:left="360" w:right="1203" w:firstLine="359"/>
      </w:pPr>
      <w:r>
        <w:t xml:space="preserve">When reviewing this standard, peer evaluators will look for evidence of each of the three key elements of the </w:t>
      </w:r>
      <w:proofErr w:type="gramStart"/>
      <w:r>
        <w:t>standard, but</w:t>
      </w:r>
      <w:proofErr w:type="gramEnd"/>
      <w:r>
        <w:t xml:space="preserve"> do so as an integrated activity where the parts are linked. When reporting about the process, it might be useful to consider the process in this</w:t>
      </w:r>
      <w:r>
        <w:rPr>
          <w:spacing w:val="-22"/>
        </w:rPr>
        <w:t xml:space="preserve"> </w:t>
      </w:r>
      <w:r>
        <w:t>fashion:</w:t>
      </w:r>
    </w:p>
    <w:p w14:paraId="16C12943" w14:textId="77777777" w:rsidR="001A3CB1" w:rsidRDefault="001A3CB1" w:rsidP="001A3CB1">
      <w:pPr>
        <w:pStyle w:val="BodyText"/>
        <w:spacing w:before="2"/>
        <w:rPr>
          <w:sz w:val="18"/>
        </w:rPr>
      </w:pPr>
      <w:r>
        <w:rPr>
          <w:noProof/>
        </w:rPr>
        <w:lastRenderedPageBreak/>
        <w:drawing>
          <wp:anchor distT="0" distB="0" distL="0" distR="0" simplePos="0" relativeHeight="251663360" behindDoc="0" locked="0" layoutInCell="1" allowOverlap="1" wp14:anchorId="13C84F6E" wp14:editId="0387909F">
            <wp:simplePos x="0" y="0"/>
            <wp:positionH relativeFrom="page">
              <wp:posOffset>2858769</wp:posOffset>
            </wp:positionH>
            <wp:positionV relativeFrom="paragraph">
              <wp:posOffset>157486</wp:posOffset>
            </wp:positionV>
            <wp:extent cx="2130271" cy="1650206"/>
            <wp:effectExtent l="0" t="0" r="0" b="0"/>
            <wp:wrapTopAndBottom/>
            <wp:docPr id="5" name="image6.jpeg" descr="A diagram of a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6.jpeg" descr="A diagram of a process&#10;&#10;Description automatically generated"/>
                    <pic:cNvPicPr/>
                  </pic:nvPicPr>
                  <pic:blipFill>
                    <a:blip r:embed="rId7" cstate="print"/>
                    <a:stretch>
                      <a:fillRect/>
                    </a:stretch>
                  </pic:blipFill>
                  <pic:spPr>
                    <a:xfrm>
                      <a:off x="0" y="0"/>
                      <a:ext cx="2130271" cy="1650206"/>
                    </a:xfrm>
                    <a:prstGeom prst="rect">
                      <a:avLst/>
                    </a:prstGeom>
                  </pic:spPr>
                </pic:pic>
              </a:graphicData>
            </a:graphic>
          </wp:anchor>
        </w:drawing>
      </w:r>
    </w:p>
    <w:p w14:paraId="0B58A43E" w14:textId="77777777" w:rsidR="001A3CB1" w:rsidRDefault="001A3CB1" w:rsidP="001A3CB1">
      <w:pPr>
        <w:pStyle w:val="BodyText"/>
        <w:spacing w:before="7"/>
        <w:rPr>
          <w:sz w:val="28"/>
        </w:rPr>
      </w:pPr>
    </w:p>
    <w:p w14:paraId="62A19B23" w14:textId="77777777" w:rsidR="001A3CB1" w:rsidRDefault="001A3CB1" w:rsidP="001A3CB1">
      <w:pPr>
        <w:pStyle w:val="BodyText"/>
        <w:spacing w:before="1" w:line="276" w:lineRule="auto"/>
        <w:ind w:left="360" w:right="1096" w:firstLine="359"/>
      </w:pPr>
      <w:r>
        <w:t>While the standard emphasizes the three points on the left of the graphic, a thorough explanation of the process will also describe the processes on the right side of the graphic. The institution will not be able to show effective assessment of its outcomes if its means of assessment do not measure what it has set forth as its expected outcomes. Likewise, if the assessment findings are not somehow analyzed or evaluated, it will be hard to show the linkage between undertaking assessments and the continuous improvement of programs and services. Finally, this is a process, and the underlying expectation is that it is</w:t>
      </w:r>
      <w:r>
        <w:rPr>
          <w:spacing w:val="-4"/>
        </w:rPr>
        <w:t xml:space="preserve"> </w:t>
      </w:r>
      <w:r>
        <w:t>ongoing.</w:t>
      </w:r>
    </w:p>
    <w:p w14:paraId="6CC98BE4" w14:textId="77777777" w:rsidR="001A3CB1" w:rsidRDefault="001A3CB1" w:rsidP="001A3CB1">
      <w:pPr>
        <w:pStyle w:val="BodyText"/>
        <w:rPr>
          <w:sz w:val="19"/>
        </w:rPr>
      </w:pPr>
    </w:p>
    <w:p w14:paraId="0B08A58A" w14:textId="77777777" w:rsidR="001A3CB1" w:rsidRDefault="001A3CB1" w:rsidP="001A3CB1">
      <w:pPr>
        <w:pStyle w:val="Heading6"/>
        <w:spacing w:before="1"/>
        <w:rPr>
          <w:rFonts w:ascii="TimesNewRomanPS-BoldItalicMT"/>
        </w:rPr>
      </w:pPr>
      <w:r>
        <w:rPr>
          <w:rFonts w:ascii="TimesNewRomanPS-BoldItalicMT"/>
          <w:color w:val="00619A"/>
        </w:rPr>
        <w:t>NOTES</w:t>
      </w:r>
    </w:p>
    <w:p w14:paraId="10A40397" w14:textId="77777777" w:rsidR="001A3CB1" w:rsidRDefault="001A3CB1" w:rsidP="001A3CB1">
      <w:pPr>
        <w:spacing w:before="92" w:line="276" w:lineRule="auto"/>
        <w:ind w:left="720" w:right="1068" w:firstLine="359"/>
        <w:rPr>
          <w:i/>
        </w:rPr>
      </w:pPr>
      <w:r>
        <w:rPr>
          <w:i/>
        </w:rPr>
        <w:t>Effective outcomes assessment can be achieved in a variety of ways, and the mentality that “one size fits all” is inappropriate and diminishes the individual missions of institutions. This is especially true regarding the use of language to describe processes; for example, “assessment,” “evaluation,” “goals,” “outcomes,” and “objectives” may have</w:t>
      </w:r>
      <w:r>
        <w:rPr>
          <w:i/>
          <w:spacing w:val="-13"/>
        </w:rPr>
        <w:t xml:space="preserve"> </w:t>
      </w:r>
      <w:r>
        <w:rPr>
          <w:i/>
        </w:rPr>
        <w:t>precise</w:t>
      </w:r>
    </w:p>
    <w:p w14:paraId="196A2D4B" w14:textId="02BE1F34" w:rsidR="001A3CB1" w:rsidRDefault="001A3CB1" w:rsidP="001A3CB1">
      <w:pPr>
        <w:spacing w:line="276" w:lineRule="auto"/>
        <w:ind w:left="720" w:right="1109"/>
        <w:rPr>
          <w:i/>
        </w:rPr>
      </w:pPr>
      <w:r>
        <w:rPr>
          <w:i/>
        </w:rPr>
        <w:t>meaning to a reviewer, but the institution may have a meaningful effectiveness system even if it is not as precise with its language as the reviewer would like. The institution should develop and/or use methods and instruments that are uniquely suited to its circumstances and are supported by its faculty and its academic and student support</w:t>
      </w:r>
      <w:r>
        <w:rPr>
          <w:i/>
          <w:spacing w:val="-14"/>
        </w:rPr>
        <w:t xml:space="preserve"> </w:t>
      </w:r>
      <w:r>
        <w:rPr>
          <w:i/>
        </w:rPr>
        <w:t>professionals.</w:t>
      </w:r>
    </w:p>
    <w:p w14:paraId="19586765" w14:textId="77777777" w:rsidR="001A3CB1" w:rsidRDefault="001A3CB1" w:rsidP="001A3CB1">
      <w:pPr>
        <w:spacing w:before="93" w:line="276" w:lineRule="auto"/>
        <w:ind w:left="720" w:right="1114" w:firstLine="359"/>
        <w:rPr>
          <w:i/>
        </w:rPr>
      </w:pPr>
      <w:r>
        <w:rPr>
          <w:i/>
        </w:rPr>
        <w:t>At the time of its review, the institution is responsible for demonstrating that the full cycle outlined above has taken place, and that the current process is being used to promote continuous improvement. For institutions that do not use annual reporting, sufficient cycles of reporting should be provided to establish that the process is applied to all educational programs.</w:t>
      </w:r>
    </w:p>
    <w:p w14:paraId="6F835CAA" w14:textId="77777777" w:rsidR="001A3CB1" w:rsidRDefault="001A3CB1" w:rsidP="001A3CB1">
      <w:pPr>
        <w:spacing w:before="94" w:line="276" w:lineRule="auto"/>
        <w:ind w:left="720" w:right="1065" w:hanging="1"/>
        <w:rPr>
          <w:i/>
        </w:rPr>
      </w:pPr>
      <w:r>
        <w:rPr>
          <w:i/>
        </w:rPr>
        <w:t>At the time of its review, the institution is responsible for providing evidence of “seeking improvement.” The institution should be using the data to inform changes based on evaluation of its findings. Plans to make improvements do not qualify as seeking improvement, but efforts to improve a program that may not have been entirely successful certainly</w:t>
      </w:r>
      <w:r>
        <w:rPr>
          <w:i/>
          <w:spacing w:val="-13"/>
        </w:rPr>
        <w:t xml:space="preserve"> </w:t>
      </w:r>
      <w:r>
        <w:rPr>
          <w:i/>
        </w:rPr>
        <w:t>do.</w:t>
      </w:r>
    </w:p>
    <w:p w14:paraId="1D86D0D5" w14:textId="77777777" w:rsidR="001A3CB1" w:rsidRDefault="001A3CB1" w:rsidP="001A3CB1">
      <w:pPr>
        <w:pStyle w:val="BodyText"/>
        <w:rPr>
          <w:i/>
          <w:sz w:val="24"/>
        </w:rPr>
      </w:pPr>
    </w:p>
    <w:p w14:paraId="3E7789DB" w14:textId="77777777" w:rsidR="001A3CB1" w:rsidRDefault="001A3CB1" w:rsidP="001A3CB1">
      <w:pPr>
        <w:pStyle w:val="BodyText"/>
        <w:rPr>
          <w:i/>
          <w:sz w:val="24"/>
        </w:rPr>
      </w:pPr>
    </w:p>
    <w:p w14:paraId="0C35BACD" w14:textId="77777777" w:rsidR="001A3CB1" w:rsidRDefault="001A3CB1" w:rsidP="001A3CB1">
      <w:pPr>
        <w:pStyle w:val="Heading3"/>
        <w:spacing w:before="202" w:line="264" w:lineRule="auto"/>
        <w:ind w:left="1080" w:right="1051" w:hanging="1"/>
        <w:rPr>
          <w:b/>
          <w:i/>
        </w:rPr>
      </w:pPr>
      <w:r>
        <w:rPr>
          <w:noProof/>
        </w:rPr>
        <w:lastRenderedPageBreak/>
        <mc:AlternateContent>
          <mc:Choice Requires="wpg">
            <w:drawing>
              <wp:anchor distT="0" distB="0" distL="114300" distR="114300" simplePos="0" relativeHeight="251661312" behindDoc="0" locked="0" layoutInCell="1" allowOverlap="1" wp14:anchorId="02E7FABB" wp14:editId="188A9C59">
                <wp:simplePos x="0" y="0"/>
                <wp:positionH relativeFrom="page">
                  <wp:posOffset>1089660</wp:posOffset>
                </wp:positionH>
                <wp:positionV relativeFrom="paragraph">
                  <wp:posOffset>37465</wp:posOffset>
                </wp:positionV>
                <wp:extent cx="402590" cy="401955"/>
                <wp:effectExtent l="0" t="0" r="3810" b="4445"/>
                <wp:wrapNone/>
                <wp:docPr id="1459240028"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2590" cy="401955"/>
                          <a:chOff x="1716" y="59"/>
                          <a:chExt cx="634" cy="633"/>
                        </a:xfrm>
                      </wpg:grpSpPr>
                      <wps:wsp>
                        <wps:cNvPr id="2079122599" name="Freeform 153"/>
                        <wps:cNvSpPr>
                          <a:spLocks/>
                        </wps:cNvSpPr>
                        <wps:spPr bwMode="auto">
                          <a:xfrm>
                            <a:off x="1716" y="59"/>
                            <a:ext cx="634" cy="633"/>
                          </a:xfrm>
                          <a:custGeom>
                            <a:avLst/>
                            <a:gdLst>
                              <a:gd name="T0" fmla="+- 0 2033 1716"/>
                              <a:gd name="T1" fmla="*/ T0 w 634"/>
                              <a:gd name="T2" fmla="+- 0 59 59"/>
                              <a:gd name="T3" fmla="*/ 59 h 633"/>
                              <a:gd name="T4" fmla="+- 0 1957 1716"/>
                              <a:gd name="T5" fmla="*/ T4 w 634"/>
                              <a:gd name="T6" fmla="+- 0 68 59"/>
                              <a:gd name="T7" fmla="*/ 68 h 633"/>
                              <a:gd name="T8" fmla="+- 0 1887 1716"/>
                              <a:gd name="T9" fmla="*/ T8 w 634"/>
                              <a:gd name="T10" fmla="+- 0 94 59"/>
                              <a:gd name="T11" fmla="*/ 94 h 633"/>
                              <a:gd name="T12" fmla="+- 0 1827 1716"/>
                              <a:gd name="T13" fmla="*/ T12 w 634"/>
                              <a:gd name="T14" fmla="+- 0 135 59"/>
                              <a:gd name="T15" fmla="*/ 135 h 633"/>
                              <a:gd name="T16" fmla="+- 0 1777 1716"/>
                              <a:gd name="T17" fmla="*/ T16 w 634"/>
                              <a:gd name="T18" fmla="+- 0 188 59"/>
                              <a:gd name="T19" fmla="*/ 188 h 633"/>
                              <a:gd name="T20" fmla="+- 0 1741 1716"/>
                              <a:gd name="T21" fmla="*/ T20 w 634"/>
                              <a:gd name="T22" fmla="+- 0 252 59"/>
                              <a:gd name="T23" fmla="*/ 252 h 633"/>
                              <a:gd name="T24" fmla="+- 0 1720 1716"/>
                              <a:gd name="T25" fmla="*/ T24 w 634"/>
                              <a:gd name="T26" fmla="+- 0 324 59"/>
                              <a:gd name="T27" fmla="*/ 324 h 633"/>
                              <a:gd name="T28" fmla="+- 0 1716 1716"/>
                              <a:gd name="T29" fmla="*/ T28 w 634"/>
                              <a:gd name="T30" fmla="+- 0 376 59"/>
                              <a:gd name="T31" fmla="*/ 376 h 633"/>
                              <a:gd name="T32" fmla="+- 0 1717 1716"/>
                              <a:gd name="T33" fmla="*/ T32 w 634"/>
                              <a:gd name="T34" fmla="+- 0 402 59"/>
                              <a:gd name="T35" fmla="*/ 402 h 633"/>
                              <a:gd name="T36" fmla="+- 0 1732 1716"/>
                              <a:gd name="T37" fmla="*/ T36 w 634"/>
                              <a:gd name="T38" fmla="+- 0 476 59"/>
                              <a:gd name="T39" fmla="*/ 476 h 633"/>
                              <a:gd name="T40" fmla="+- 0 1763 1716"/>
                              <a:gd name="T41" fmla="*/ T40 w 634"/>
                              <a:gd name="T42" fmla="+- 0 542 59"/>
                              <a:gd name="T43" fmla="*/ 542 h 633"/>
                              <a:gd name="T44" fmla="+- 0 1809 1716"/>
                              <a:gd name="T45" fmla="*/ T44 w 634"/>
                              <a:gd name="T46" fmla="+- 0 600 59"/>
                              <a:gd name="T47" fmla="*/ 600 h 633"/>
                              <a:gd name="T48" fmla="+- 0 1866 1716"/>
                              <a:gd name="T49" fmla="*/ T48 w 634"/>
                              <a:gd name="T50" fmla="+- 0 645 59"/>
                              <a:gd name="T51" fmla="*/ 645 h 633"/>
                              <a:gd name="T52" fmla="+- 0 1933 1716"/>
                              <a:gd name="T53" fmla="*/ T52 w 634"/>
                              <a:gd name="T54" fmla="+- 0 676 59"/>
                              <a:gd name="T55" fmla="*/ 676 h 633"/>
                              <a:gd name="T56" fmla="+- 0 2007 1716"/>
                              <a:gd name="T57" fmla="*/ T56 w 634"/>
                              <a:gd name="T58" fmla="+- 0 691 59"/>
                              <a:gd name="T59" fmla="*/ 691 h 633"/>
                              <a:gd name="T60" fmla="+- 0 2033 1716"/>
                              <a:gd name="T61" fmla="*/ T60 w 634"/>
                              <a:gd name="T62" fmla="+- 0 692 59"/>
                              <a:gd name="T63" fmla="*/ 692 h 633"/>
                              <a:gd name="T64" fmla="+- 0 2059 1716"/>
                              <a:gd name="T65" fmla="*/ T64 w 634"/>
                              <a:gd name="T66" fmla="+- 0 691 59"/>
                              <a:gd name="T67" fmla="*/ 691 h 633"/>
                              <a:gd name="T68" fmla="+- 0 2133 1716"/>
                              <a:gd name="T69" fmla="*/ T68 w 634"/>
                              <a:gd name="T70" fmla="+- 0 676 59"/>
                              <a:gd name="T71" fmla="*/ 676 h 633"/>
                              <a:gd name="T72" fmla="+- 0 2200 1716"/>
                              <a:gd name="T73" fmla="*/ T72 w 634"/>
                              <a:gd name="T74" fmla="+- 0 645 59"/>
                              <a:gd name="T75" fmla="*/ 645 h 633"/>
                              <a:gd name="T76" fmla="+- 0 2257 1716"/>
                              <a:gd name="T77" fmla="*/ T76 w 634"/>
                              <a:gd name="T78" fmla="+- 0 600 59"/>
                              <a:gd name="T79" fmla="*/ 600 h 633"/>
                              <a:gd name="T80" fmla="+- 0 2302 1716"/>
                              <a:gd name="T81" fmla="*/ T80 w 634"/>
                              <a:gd name="T82" fmla="+- 0 542 59"/>
                              <a:gd name="T83" fmla="*/ 542 h 633"/>
                              <a:gd name="T84" fmla="+- 0 2333 1716"/>
                              <a:gd name="T85" fmla="*/ T84 w 634"/>
                              <a:gd name="T86" fmla="+- 0 476 59"/>
                              <a:gd name="T87" fmla="*/ 476 h 633"/>
                              <a:gd name="T88" fmla="+- 0 2349 1716"/>
                              <a:gd name="T89" fmla="*/ T88 w 634"/>
                              <a:gd name="T90" fmla="+- 0 402 59"/>
                              <a:gd name="T91" fmla="*/ 402 h 633"/>
                              <a:gd name="T92" fmla="+- 0 2350 1716"/>
                              <a:gd name="T93" fmla="*/ T92 w 634"/>
                              <a:gd name="T94" fmla="+- 0 376 59"/>
                              <a:gd name="T95" fmla="*/ 376 h 633"/>
                              <a:gd name="T96" fmla="+- 0 2349 1716"/>
                              <a:gd name="T97" fmla="*/ T96 w 634"/>
                              <a:gd name="T98" fmla="+- 0 350 59"/>
                              <a:gd name="T99" fmla="*/ 350 h 633"/>
                              <a:gd name="T100" fmla="+- 0 2333 1716"/>
                              <a:gd name="T101" fmla="*/ T100 w 634"/>
                              <a:gd name="T102" fmla="+- 0 275 59"/>
                              <a:gd name="T103" fmla="*/ 275 h 633"/>
                              <a:gd name="T104" fmla="+- 0 2302 1716"/>
                              <a:gd name="T105" fmla="*/ T104 w 634"/>
                              <a:gd name="T106" fmla="+- 0 209 59"/>
                              <a:gd name="T107" fmla="*/ 209 h 633"/>
                              <a:gd name="T108" fmla="+- 0 2257 1716"/>
                              <a:gd name="T109" fmla="*/ T108 w 634"/>
                              <a:gd name="T110" fmla="+- 0 152 59"/>
                              <a:gd name="T111" fmla="*/ 152 h 633"/>
                              <a:gd name="T112" fmla="+- 0 2200 1716"/>
                              <a:gd name="T113" fmla="*/ T112 w 634"/>
                              <a:gd name="T114" fmla="+- 0 106 59"/>
                              <a:gd name="T115" fmla="*/ 106 h 633"/>
                              <a:gd name="T116" fmla="+- 0 2133 1716"/>
                              <a:gd name="T117" fmla="*/ T116 w 634"/>
                              <a:gd name="T118" fmla="+- 0 75 59"/>
                              <a:gd name="T119" fmla="*/ 75 h 633"/>
                              <a:gd name="T120" fmla="+- 0 2059 1716"/>
                              <a:gd name="T121" fmla="*/ T120 w 634"/>
                              <a:gd name="T122" fmla="+- 0 60 59"/>
                              <a:gd name="T123" fmla="*/ 60 h 633"/>
                              <a:gd name="T124" fmla="+- 0 2033 1716"/>
                              <a:gd name="T125" fmla="*/ T124 w 634"/>
                              <a:gd name="T126" fmla="+- 0 59 59"/>
                              <a:gd name="T127" fmla="*/ 59 h 6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634" h="633">
                                <a:moveTo>
                                  <a:pt x="317" y="0"/>
                                </a:moveTo>
                                <a:lnTo>
                                  <a:pt x="241" y="9"/>
                                </a:lnTo>
                                <a:lnTo>
                                  <a:pt x="171" y="35"/>
                                </a:lnTo>
                                <a:lnTo>
                                  <a:pt x="111" y="76"/>
                                </a:lnTo>
                                <a:lnTo>
                                  <a:pt x="61" y="129"/>
                                </a:lnTo>
                                <a:lnTo>
                                  <a:pt x="25" y="193"/>
                                </a:lnTo>
                                <a:lnTo>
                                  <a:pt x="4" y="265"/>
                                </a:lnTo>
                                <a:lnTo>
                                  <a:pt x="0" y="317"/>
                                </a:lnTo>
                                <a:lnTo>
                                  <a:pt x="1" y="343"/>
                                </a:lnTo>
                                <a:lnTo>
                                  <a:pt x="16" y="417"/>
                                </a:lnTo>
                                <a:lnTo>
                                  <a:pt x="47" y="483"/>
                                </a:lnTo>
                                <a:lnTo>
                                  <a:pt x="93" y="541"/>
                                </a:lnTo>
                                <a:lnTo>
                                  <a:pt x="150" y="586"/>
                                </a:lnTo>
                                <a:lnTo>
                                  <a:pt x="217" y="617"/>
                                </a:lnTo>
                                <a:lnTo>
                                  <a:pt x="291" y="632"/>
                                </a:lnTo>
                                <a:lnTo>
                                  <a:pt x="317" y="633"/>
                                </a:lnTo>
                                <a:lnTo>
                                  <a:pt x="343" y="632"/>
                                </a:lnTo>
                                <a:lnTo>
                                  <a:pt x="417" y="617"/>
                                </a:lnTo>
                                <a:lnTo>
                                  <a:pt x="484" y="586"/>
                                </a:lnTo>
                                <a:lnTo>
                                  <a:pt x="541" y="541"/>
                                </a:lnTo>
                                <a:lnTo>
                                  <a:pt x="586" y="483"/>
                                </a:lnTo>
                                <a:lnTo>
                                  <a:pt x="617" y="417"/>
                                </a:lnTo>
                                <a:lnTo>
                                  <a:pt x="633" y="343"/>
                                </a:lnTo>
                                <a:lnTo>
                                  <a:pt x="634" y="317"/>
                                </a:lnTo>
                                <a:lnTo>
                                  <a:pt x="633" y="291"/>
                                </a:lnTo>
                                <a:lnTo>
                                  <a:pt x="617" y="216"/>
                                </a:lnTo>
                                <a:lnTo>
                                  <a:pt x="586" y="150"/>
                                </a:lnTo>
                                <a:lnTo>
                                  <a:pt x="541" y="93"/>
                                </a:lnTo>
                                <a:lnTo>
                                  <a:pt x="484" y="47"/>
                                </a:lnTo>
                                <a:lnTo>
                                  <a:pt x="417" y="16"/>
                                </a:lnTo>
                                <a:lnTo>
                                  <a:pt x="343" y="1"/>
                                </a:lnTo>
                                <a:lnTo>
                                  <a:pt x="317" y="0"/>
                                </a:lnTo>
                                <a:close/>
                              </a:path>
                            </a:pathLst>
                          </a:custGeom>
                          <a:solidFill>
                            <a:srgbClr val="0061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625471" name="Text Box 154"/>
                        <wps:cNvSpPr txBox="1">
                          <a:spLocks/>
                        </wps:cNvSpPr>
                        <wps:spPr bwMode="auto">
                          <a:xfrm>
                            <a:off x="1716" y="59"/>
                            <a:ext cx="634" cy="6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AA9DCE" w14:textId="77777777" w:rsidR="001A3CB1" w:rsidRDefault="001A3CB1" w:rsidP="001A3CB1">
                              <w:pPr>
                                <w:spacing w:before="171"/>
                                <w:ind w:left="69"/>
                                <w:rPr>
                                  <w:b/>
                                  <w:sz w:val="26"/>
                                </w:rPr>
                              </w:pPr>
                              <w:r>
                                <w:rPr>
                                  <w:b/>
                                  <w:color w:val="FFFFFF"/>
                                  <w:sz w:val="26"/>
                                </w:rPr>
                                <w:t>8.2.c</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E7FABB" id="Group 152" o:spid="_x0000_s1029" style="position:absolute;left:0;text-align:left;margin-left:85.8pt;margin-top:2.95pt;width:31.7pt;height:31.65pt;z-index:251661312;mso-position-horizontal-relative:page" coordorigin="1716,59" coordsize="634,63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">
                <v:shape id="Freeform 153" o:spid="_x0000_s1030" style="position:absolute;left:1716;top:59;width:634;height:633;visibility:visible;mso-wrap-style:square;v-text-anchor:top" coordsize="634,6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" path="m317,l241,9,171,35,111,76,61,129,25,193,4,265,,317r1,26l16,417r31,66l93,541r57,45l217,617r74,15l317,633r26,-1l417,617r67,-31l541,541r45,-58l617,417r16,-74l634,317r-1,-26l617,216,586,150,541,93,484,47,417,16,343,1,317,xe" fillcolor="#00619a" stroked="f">
                  <v:path arrowok="t" o:connecttype="custom" o:connectlocs="317,59;241,68;171,94;111,135;61,188;25,252;4,324;0,376;1,402;16,476;47,542;93,600;150,645;217,676;291,691;317,692;343,691;417,676;484,645;541,600;586,542;617,476;633,402;634,376;633,350;617,275;586,209;541,152;484,106;417,75;343,60;317,59" o:connectangles="0,0,0,0,0,0,0,0,0,0,0,0,0,0,0,0,0,0,0,0,0,0,0,0,0,0,0,0,0,0,0,0"/>
                </v:shape>
                <v:shape id="Text Box 154" o:spid="_x0000_s1031" type="#_x0000_t202" style="position:absolute;left:1716;top:59;width:634;height:63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" filled="f" stroked="f">
                  <v:path arrowok="t"/>
                  <v:textbox inset="0,0,0,0">
                    <w:txbxContent>
                      <w:p w14:paraId="1FAA9DCE" w14:textId="77777777" w:rsidR="001A3CB1" w:rsidRDefault="001A3CB1" w:rsidP="001A3CB1">
                        <w:pPr>
                          <w:spacing w:before="171"/>
                          <w:ind w:left="69"/>
                          <w:rPr>
                            <w:b/>
                            <w:sz w:val="26"/>
                          </w:rPr>
                        </w:pPr>
                        <w:r>
                          <w:rPr>
                            <w:b/>
                            <w:color w:val="FFFFFF"/>
                            <w:sz w:val="26"/>
                          </w:rPr>
                          <w:t>8.2.c</w:t>
                        </w:r>
                      </w:p>
                    </w:txbxContent>
                  </v:textbox>
                </v:shape>
                <w10:wrap anchorx="page"/>
              </v:group>
            </w:pict>
          </mc:Fallback>
        </mc:AlternateContent>
      </w:r>
      <w:r>
        <w:rPr>
          <w:color w:val="221F1F"/>
        </w:rPr>
        <w:t>The</w:t>
      </w:r>
      <w:r>
        <w:rPr>
          <w:color w:val="221F1F"/>
          <w:spacing w:val="-49"/>
        </w:rPr>
        <w:t xml:space="preserve"> </w:t>
      </w:r>
      <w:r>
        <w:t>institution identifies expected outcomes, assesses the extent to which it achieves these outcomes, and provides evidence of seeking improvement based on analysis of the results for academic and student services that support student success.</w:t>
      </w:r>
      <w:r>
        <w:rPr>
          <w:i/>
        </w:rPr>
        <w:t>(Student outcomes: academic and student</w:t>
      </w:r>
      <w:r>
        <w:rPr>
          <w:i/>
          <w:spacing w:val="-2"/>
        </w:rPr>
        <w:t xml:space="preserve"> </w:t>
      </w:r>
      <w:r>
        <w:rPr>
          <w:i/>
        </w:rPr>
        <w:t>services)</w:t>
      </w:r>
    </w:p>
    <w:p w14:paraId="044BFD0E" w14:textId="77777777" w:rsidR="001A3CB1" w:rsidRDefault="001A3CB1" w:rsidP="001A3CB1">
      <w:pPr>
        <w:pStyle w:val="BodyText"/>
        <w:spacing w:before="11"/>
        <w:rPr>
          <w:i/>
          <w:sz w:val="31"/>
        </w:rPr>
      </w:pPr>
    </w:p>
    <w:p w14:paraId="7237A680" w14:textId="77777777" w:rsidR="001A3CB1" w:rsidRDefault="001A3CB1" w:rsidP="001A3CB1">
      <w:pPr>
        <w:ind w:left="360"/>
        <w:rPr>
          <w:rFonts w:ascii="Arial"/>
          <w:b/>
          <w:sz w:val="26"/>
        </w:rPr>
      </w:pPr>
      <w:r>
        <w:rPr>
          <w:rFonts w:ascii="Arial"/>
          <w:b/>
          <w:color w:val="00619A"/>
          <w:w w:val="85"/>
          <w:sz w:val="26"/>
        </w:rPr>
        <w:t>Rationale</w:t>
      </w:r>
      <w:r>
        <w:rPr>
          <w:rFonts w:ascii="Arial"/>
          <w:b/>
          <w:color w:val="00619A"/>
          <w:spacing w:val="-36"/>
          <w:w w:val="85"/>
          <w:sz w:val="26"/>
        </w:rPr>
        <w:t xml:space="preserve"> </w:t>
      </w:r>
      <w:r>
        <w:rPr>
          <w:rFonts w:ascii="Arial"/>
          <w:b/>
          <w:color w:val="00619A"/>
          <w:w w:val="85"/>
          <w:sz w:val="26"/>
        </w:rPr>
        <w:t>and</w:t>
      </w:r>
      <w:r>
        <w:rPr>
          <w:rFonts w:ascii="Arial"/>
          <w:b/>
          <w:color w:val="00619A"/>
          <w:spacing w:val="-34"/>
          <w:w w:val="85"/>
          <w:sz w:val="26"/>
        </w:rPr>
        <w:t xml:space="preserve"> </w:t>
      </w:r>
      <w:r>
        <w:rPr>
          <w:rFonts w:ascii="Arial"/>
          <w:b/>
          <w:color w:val="00619A"/>
          <w:w w:val="85"/>
          <w:sz w:val="26"/>
        </w:rPr>
        <w:t>Notes</w:t>
      </w:r>
    </w:p>
    <w:p w14:paraId="5BFB60FA" w14:textId="77777777" w:rsidR="001A3CB1" w:rsidRDefault="001A3CB1" w:rsidP="001A3CB1">
      <w:pPr>
        <w:pStyle w:val="BodyText"/>
        <w:spacing w:before="112" w:line="276" w:lineRule="auto"/>
        <w:ind w:left="360" w:right="1073"/>
      </w:pPr>
      <w:r>
        <w:t>Academic and student support services that support student success normally include such activities as library and learning/information resources, faculty resource centers, tutoring, writing centers, academic computer centers, student disability support centers, financial aid, residence life, student activities, dean of students’ office, and so on. Most institutions would also include admissions offices within this category. These units provide direct support to faculty and students as related to their educational programs, indirect support for student learning, or a specific co- curricular mission that supports the college</w:t>
      </w:r>
      <w:r>
        <w:rPr>
          <w:spacing w:val="-7"/>
        </w:rPr>
        <w:t xml:space="preserve"> </w:t>
      </w:r>
      <w:r>
        <w:t>experience.</w:t>
      </w:r>
    </w:p>
    <w:p w14:paraId="55C446FD" w14:textId="77777777" w:rsidR="001A3CB1" w:rsidRDefault="001A3CB1" w:rsidP="001A3CB1">
      <w:pPr>
        <w:pStyle w:val="BodyText"/>
        <w:spacing w:before="92" w:line="276" w:lineRule="auto"/>
        <w:ind w:left="360" w:right="1051" w:firstLine="359"/>
      </w:pPr>
      <w:r>
        <w:t xml:space="preserve">It would be common to find that some of these units have expected student outcomes very similar to those of educational programs. Examples might be a library unit tasked with providing information literacy instruction to students, or wellness programming aimed at influencing student behaviors. Regarding library and other learning/information resources, see Standard 11.3 </w:t>
      </w:r>
      <w:r>
        <w:rPr>
          <w:i/>
        </w:rPr>
        <w:t>(Library and learning/information access)</w:t>
      </w:r>
      <w:r>
        <w:t>, which specifically addresses instruction in the use of the</w:t>
      </w:r>
      <w:r>
        <w:rPr>
          <w:spacing w:val="-24"/>
        </w:rPr>
        <w:t xml:space="preserve"> </w:t>
      </w:r>
      <w:r>
        <w:t>library.</w:t>
      </w:r>
    </w:p>
    <w:p w14:paraId="65E42E86" w14:textId="77777777" w:rsidR="001A3CB1" w:rsidRDefault="001A3CB1" w:rsidP="001A3CB1">
      <w:pPr>
        <w:pStyle w:val="BodyText"/>
        <w:spacing w:before="93" w:line="276" w:lineRule="auto"/>
        <w:ind w:left="360" w:right="1640" w:firstLine="359"/>
      </w:pPr>
      <w:r>
        <w:t>In other cases, expected outcomes might not be related to a directly measurable student learning outcome but instead related to quality of service. An example might be a maximum percentage “downtime” target for levels of academic computing network</w:t>
      </w:r>
      <w:r>
        <w:rPr>
          <w:spacing w:val="-17"/>
        </w:rPr>
        <w:t xml:space="preserve"> </w:t>
      </w:r>
      <w:r>
        <w:t>availability.</w:t>
      </w:r>
    </w:p>
    <w:p w14:paraId="7DD9C9FB" w14:textId="77777777" w:rsidR="001A3CB1" w:rsidRDefault="001A3CB1" w:rsidP="001A3CB1">
      <w:pPr>
        <w:pStyle w:val="BodyText"/>
        <w:spacing w:before="92" w:line="276" w:lineRule="auto"/>
        <w:ind w:left="360" w:right="1072" w:firstLine="359"/>
        <w:jc w:val="both"/>
      </w:pPr>
      <w:r>
        <w:t xml:space="preserve">As discussed in the “Rationale and Notes” for Standard 7.3 </w:t>
      </w:r>
      <w:r>
        <w:rPr>
          <w:i/>
        </w:rPr>
        <w:t>(Administrative effectiveness)</w:t>
      </w:r>
      <w:r>
        <w:t>, it is sometimes difficult to separate assessment of outcomes of administrative goals from assessment of outcomes related to academic and student support services. Generally, these “dual function”</w:t>
      </w:r>
      <w:r>
        <w:rPr>
          <w:spacing w:val="-27"/>
        </w:rPr>
        <w:t xml:space="preserve"> </w:t>
      </w:r>
      <w:r>
        <w:t>units</w:t>
      </w:r>
    </w:p>
    <w:p w14:paraId="0DEEBBA2" w14:textId="77777777" w:rsidR="001A3CB1" w:rsidRDefault="001A3CB1" w:rsidP="001A3CB1">
      <w:pPr>
        <w:pStyle w:val="BodyText"/>
        <w:spacing w:line="276" w:lineRule="auto"/>
        <w:ind w:left="360" w:right="1127"/>
      </w:pPr>
      <w:r>
        <w:t xml:space="preserve">would be addressed in this part of the </w:t>
      </w:r>
      <w:proofErr w:type="gramStart"/>
      <w:r>
        <w:rPr>
          <w:i/>
        </w:rPr>
        <w:t>Principles</w:t>
      </w:r>
      <w:proofErr w:type="gramEnd"/>
      <w:r>
        <w:t>. If those units are instead addressed in Standard 7.3, it is incumbent on the institution to explain how this determination follows from its mission and organizational structure; it is strongly suggested that this explanation appear in both standards of the Compliance Certification. While institutions may organize functions differently, all services, whether administrative or academic student support services, are expected to engage in institutional effectiveness processes.</w:t>
      </w:r>
    </w:p>
    <w:p w14:paraId="1AA0FF95" w14:textId="77777777" w:rsidR="001A3CB1" w:rsidRDefault="001A3CB1" w:rsidP="001A3CB1">
      <w:pPr>
        <w:pStyle w:val="BodyText"/>
        <w:spacing w:before="3"/>
        <w:rPr>
          <w:sz w:val="21"/>
        </w:rPr>
      </w:pPr>
    </w:p>
    <w:p w14:paraId="2D79C6C7" w14:textId="77777777" w:rsidR="001A3CB1" w:rsidRDefault="001A3CB1" w:rsidP="001A3CB1">
      <w:pPr>
        <w:pStyle w:val="Heading6"/>
        <w:spacing w:before="1"/>
      </w:pPr>
      <w:r>
        <w:rPr>
          <w:color w:val="00619A"/>
        </w:rPr>
        <w:t>NOTES</w:t>
      </w:r>
    </w:p>
    <w:p w14:paraId="33CB9D5B" w14:textId="77777777" w:rsidR="001A3CB1" w:rsidRDefault="001A3CB1" w:rsidP="001A3CB1">
      <w:pPr>
        <w:spacing w:before="108" w:line="276" w:lineRule="auto"/>
        <w:ind w:left="720" w:right="1211"/>
        <w:rPr>
          <w:i/>
        </w:rPr>
      </w:pPr>
      <w:r>
        <w:rPr>
          <w:i/>
        </w:rPr>
        <w:t xml:space="preserve">See the Standard 8.2 discussion as well as this substandard for full coverage of this standard within the </w:t>
      </w:r>
      <w:r>
        <w:t>Resource</w:t>
      </w:r>
      <w:r>
        <w:rPr>
          <w:spacing w:val="-1"/>
        </w:rPr>
        <w:t xml:space="preserve"> </w:t>
      </w:r>
      <w:r>
        <w:t>Manual</w:t>
      </w:r>
      <w:r>
        <w:rPr>
          <w:i/>
        </w:rPr>
        <w:t>.</w:t>
      </w:r>
    </w:p>
    <w:p w14:paraId="25607677" w14:textId="37C4F35B" w:rsidR="001A3CB1" w:rsidRDefault="001A3CB1" w:rsidP="001A3CB1">
      <w:pPr>
        <w:spacing w:before="93" w:line="276" w:lineRule="auto"/>
        <w:ind w:left="719" w:right="1219" w:firstLine="359"/>
        <w:rPr>
          <w:i/>
        </w:rPr>
      </w:pPr>
      <w:r>
        <w:rPr>
          <w:i/>
        </w:rPr>
        <w:t xml:space="preserve">Often, the nature of academic and student support services differs between services for graduate students and those for undergraduate students. Similarly, </w:t>
      </w:r>
      <w:r>
        <w:rPr>
          <w:i/>
        </w:rPr>
        <w:lastRenderedPageBreak/>
        <w:t xml:space="preserve">some services are geared </w:t>
      </w:r>
      <w:r>
        <w:rPr>
          <w:i/>
          <w:w w:val="95"/>
        </w:rPr>
        <w:t>toward</w:t>
      </w:r>
      <w:r>
        <w:rPr>
          <w:i/>
          <w:spacing w:val="-13"/>
          <w:w w:val="95"/>
        </w:rPr>
        <w:t xml:space="preserve"> </w:t>
      </w:r>
      <w:r>
        <w:rPr>
          <w:i/>
          <w:w w:val="95"/>
        </w:rPr>
        <w:t>commuter</w:t>
      </w:r>
      <w:r>
        <w:rPr>
          <w:i/>
          <w:spacing w:val="-13"/>
          <w:w w:val="95"/>
        </w:rPr>
        <w:t xml:space="preserve"> </w:t>
      </w:r>
      <w:r>
        <w:rPr>
          <w:i/>
          <w:w w:val="95"/>
        </w:rPr>
        <w:t>students</w:t>
      </w:r>
      <w:r>
        <w:rPr>
          <w:i/>
          <w:spacing w:val="-14"/>
          <w:w w:val="95"/>
        </w:rPr>
        <w:t xml:space="preserve"> </w:t>
      </w:r>
      <w:r>
        <w:rPr>
          <w:i/>
          <w:w w:val="95"/>
        </w:rPr>
        <w:t>and</w:t>
      </w:r>
      <w:r>
        <w:rPr>
          <w:i/>
          <w:spacing w:val="-14"/>
          <w:w w:val="95"/>
        </w:rPr>
        <w:t xml:space="preserve"> </w:t>
      </w:r>
      <w:r>
        <w:rPr>
          <w:i/>
          <w:w w:val="95"/>
        </w:rPr>
        <w:t>others</w:t>
      </w:r>
      <w:r>
        <w:rPr>
          <w:i/>
          <w:spacing w:val="-15"/>
          <w:w w:val="95"/>
        </w:rPr>
        <w:t xml:space="preserve"> </w:t>
      </w:r>
      <w:r>
        <w:rPr>
          <w:i/>
          <w:w w:val="95"/>
        </w:rPr>
        <w:t>primarily</w:t>
      </w:r>
      <w:r>
        <w:rPr>
          <w:i/>
          <w:spacing w:val="-15"/>
          <w:w w:val="95"/>
        </w:rPr>
        <w:t xml:space="preserve"> </w:t>
      </w:r>
      <w:r>
        <w:rPr>
          <w:i/>
          <w:w w:val="95"/>
        </w:rPr>
        <w:t>target</w:t>
      </w:r>
      <w:r>
        <w:rPr>
          <w:i/>
          <w:spacing w:val="-11"/>
          <w:w w:val="95"/>
        </w:rPr>
        <w:t xml:space="preserve"> </w:t>
      </w:r>
      <w:r>
        <w:rPr>
          <w:i/>
          <w:w w:val="95"/>
        </w:rPr>
        <w:t>residential</w:t>
      </w:r>
      <w:r>
        <w:rPr>
          <w:i/>
          <w:spacing w:val="-13"/>
          <w:w w:val="95"/>
        </w:rPr>
        <w:t xml:space="preserve"> </w:t>
      </w:r>
      <w:r>
        <w:rPr>
          <w:i/>
          <w:w w:val="95"/>
        </w:rPr>
        <w:t>students.</w:t>
      </w:r>
      <w:r>
        <w:rPr>
          <w:i/>
          <w:spacing w:val="-23"/>
          <w:w w:val="95"/>
        </w:rPr>
        <w:t xml:space="preserve"> </w:t>
      </w:r>
      <w:r>
        <w:rPr>
          <w:i/>
          <w:w w:val="95"/>
        </w:rPr>
        <w:t>While</w:t>
      </w:r>
      <w:r>
        <w:rPr>
          <w:i/>
          <w:spacing w:val="-15"/>
          <w:w w:val="95"/>
        </w:rPr>
        <w:t xml:space="preserve"> </w:t>
      </w:r>
      <w:r>
        <w:rPr>
          <w:i/>
          <w:w w:val="95"/>
        </w:rPr>
        <w:t>institutions</w:t>
      </w:r>
      <w:r>
        <w:rPr>
          <w:i/>
          <w:spacing w:val="48"/>
          <w:w w:val="95"/>
        </w:rPr>
        <w:t xml:space="preserve"> </w:t>
      </w:r>
      <w:r>
        <w:rPr>
          <w:i/>
          <w:w w:val="95"/>
        </w:rPr>
        <w:t xml:space="preserve">have </w:t>
      </w:r>
      <w:r>
        <w:rPr>
          <w:i/>
        </w:rPr>
        <w:t xml:space="preserve">moved more services online, making them available to residential, online, and off-campus students, this is not always the case. Institutions should take care to address explicitly how outcomes assessment activities take </w:t>
      </w:r>
      <w:r>
        <w:rPr>
          <w:i/>
          <w:spacing w:val="-41"/>
        </w:rPr>
        <w:t xml:space="preserve"> </w:t>
      </w:r>
      <w:r>
        <w:rPr>
          <w:i/>
        </w:rPr>
        <w:t>these</w:t>
      </w:r>
      <w:r>
        <w:rPr>
          <w:i/>
          <w:spacing w:val="-37"/>
        </w:rPr>
        <w:t xml:space="preserve"> </w:t>
      </w:r>
      <w:r>
        <w:rPr>
          <w:i/>
        </w:rPr>
        <w:t>(and</w:t>
      </w:r>
      <w:r>
        <w:rPr>
          <w:i/>
          <w:spacing w:val="-39"/>
        </w:rPr>
        <w:t xml:space="preserve"> </w:t>
      </w:r>
      <w:r>
        <w:rPr>
          <w:i/>
        </w:rPr>
        <w:t>other)</w:t>
      </w:r>
      <w:r>
        <w:rPr>
          <w:i/>
          <w:spacing w:val="-37"/>
        </w:rPr>
        <w:t xml:space="preserve"> </w:t>
      </w:r>
      <w:r>
        <w:rPr>
          <w:i/>
        </w:rPr>
        <w:t>student</w:t>
      </w:r>
      <w:r>
        <w:rPr>
          <w:i/>
          <w:spacing w:val="-37"/>
        </w:rPr>
        <w:t xml:space="preserve"> </w:t>
      </w:r>
      <w:r>
        <w:rPr>
          <w:i/>
        </w:rPr>
        <w:t>populations into</w:t>
      </w:r>
      <w:r>
        <w:rPr>
          <w:i/>
          <w:spacing w:val="-38"/>
        </w:rPr>
        <w:t xml:space="preserve"> </w:t>
      </w:r>
      <w:r>
        <w:rPr>
          <w:i/>
        </w:rPr>
        <w:t>effect.</w:t>
      </w:r>
    </w:p>
    <w:p w14:paraId="00AD74DF" w14:textId="77777777" w:rsidR="001A3CB1" w:rsidRDefault="001A3CB1" w:rsidP="001A3CB1">
      <w:pPr>
        <w:pStyle w:val="BodyText"/>
        <w:spacing w:before="2"/>
        <w:rPr>
          <w:i/>
          <w:sz w:val="31"/>
        </w:rPr>
      </w:pPr>
    </w:p>
    <w:p w14:paraId="196946FC" w14:textId="77777777" w:rsidR="001A3CB1" w:rsidRDefault="001A3CB1" w:rsidP="001A3CB1">
      <w:pPr>
        <w:pStyle w:val="Heading3"/>
        <w:spacing w:before="1"/>
        <w:rPr>
          <w:rFonts w:ascii="Arial"/>
        </w:rPr>
      </w:pPr>
      <w:r>
        <w:rPr>
          <w:rFonts w:ascii="Arial"/>
          <w:color w:val="00619A"/>
          <w:w w:val="80"/>
        </w:rPr>
        <w:t>Questions to</w:t>
      </w:r>
      <w:r>
        <w:rPr>
          <w:rFonts w:ascii="Arial"/>
          <w:color w:val="00619A"/>
          <w:spacing w:val="1"/>
          <w:w w:val="80"/>
        </w:rPr>
        <w:t xml:space="preserve"> </w:t>
      </w:r>
      <w:r>
        <w:rPr>
          <w:rFonts w:ascii="Arial"/>
          <w:color w:val="00619A"/>
          <w:w w:val="80"/>
        </w:rPr>
        <w:t>Consider</w:t>
      </w:r>
    </w:p>
    <w:p w14:paraId="76D4FF52" w14:textId="77777777" w:rsidR="001A3CB1" w:rsidRDefault="001A3CB1" w:rsidP="001A3CB1">
      <w:pPr>
        <w:pStyle w:val="BodyText"/>
        <w:tabs>
          <w:tab w:val="left" w:pos="720"/>
        </w:tabs>
        <w:spacing w:before="122"/>
        <w:ind w:left="360"/>
      </w:pPr>
      <w:r>
        <w:rPr>
          <w:rFonts w:ascii="Arial" w:hAnsi="Arial"/>
        </w:rPr>
        <w:t></w:t>
      </w:r>
      <w:r>
        <w:rPr>
          <w:rFonts w:ascii="Arial" w:hAnsi="Arial"/>
        </w:rPr>
        <w:tab/>
      </w:r>
      <w:r>
        <w:t>Has each unit developed expected outcomes in clearly defined and measurable</w:t>
      </w:r>
      <w:r>
        <w:rPr>
          <w:spacing w:val="-23"/>
        </w:rPr>
        <w:t xml:space="preserve"> </w:t>
      </w:r>
      <w:r>
        <w:t>terms?</w:t>
      </w:r>
    </w:p>
    <w:p w14:paraId="6453E6F5" w14:textId="77777777" w:rsidR="001A3CB1" w:rsidRDefault="001A3CB1" w:rsidP="001A3CB1">
      <w:pPr>
        <w:pStyle w:val="BodyText"/>
        <w:tabs>
          <w:tab w:val="left" w:pos="720"/>
        </w:tabs>
        <w:spacing w:before="147" w:line="276" w:lineRule="auto"/>
        <w:ind w:left="720" w:right="1337" w:hanging="361"/>
      </w:pPr>
      <w:r>
        <w:rPr>
          <w:rFonts w:ascii="Arial" w:hAnsi="Arial"/>
        </w:rPr>
        <w:t></w:t>
      </w:r>
      <w:r>
        <w:rPr>
          <w:rFonts w:ascii="Arial" w:hAnsi="Arial"/>
        </w:rPr>
        <w:tab/>
      </w:r>
      <w:r>
        <w:t>For units that have direct instructional responsibilities, or that provide specific co-curricular activities, are there measurable expected student learning outcomes for these</w:t>
      </w:r>
      <w:r>
        <w:rPr>
          <w:spacing w:val="-21"/>
        </w:rPr>
        <w:t xml:space="preserve"> </w:t>
      </w:r>
      <w:r>
        <w:t>functions?</w:t>
      </w:r>
    </w:p>
    <w:p w14:paraId="01D03853" w14:textId="77777777" w:rsidR="001A3CB1" w:rsidRDefault="001A3CB1" w:rsidP="001A3CB1">
      <w:pPr>
        <w:pStyle w:val="BodyText"/>
        <w:tabs>
          <w:tab w:val="left" w:pos="720"/>
        </w:tabs>
        <w:spacing w:before="108"/>
        <w:ind w:left="360"/>
      </w:pPr>
      <w:r>
        <w:rPr>
          <w:rFonts w:ascii="Arial" w:hAnsi="Arial"/>
        </w:rPr>
        <w:t></w:t>
      </w:r>
      <w:r>
        <w:rPr>
          <w:rFonts w:ascii="Arial" w:hAnsi="Arial"/>
        </w:rPr>
        <w:tab/>
      </w:r>
      <w:r>
        <w:t>What types of assessment activities are undertaken by each</w:t>
      </w:r>
      <w:r>
        <w:rPr>
          <w:spacing w:val="-18"/>
        </w:rPr>
        <w:t xml:space="preserve"> </w:t>
      </w:r>
      <w:r>
        <w:t>unit?</w:t>
      </w:r>
    </w:p>
    <w:p w14:paraId="2C0D6A2C" w14:textId="77777777" w:rsidR="001A3CB1" w:rsidRDefault="001A3CB1" w:rsidP="001A3CB1">
      <w:pPr>
        <w:pStyle w:val="BodyText"/>
        <w:tabs>
          <w:tab w:val="left" w:pos="720"/>
        </w:tabs>
        <w:spacing w:before="145"/>
        <w:ind w:left="360"/>
      </w:pPr>
      <w:r>
        <w:rPr>
          <w:rFonts w:ascii="Arial" w:hAnsi="Arial"/>
        </w:rPr>
        <w:t></w:t>
      </w:r>
      <w:r>
        <w:rPr>
          <w:rFonts w:ascii="Arial" w:hAnsi="Arial"/>
        </w:rPr>
        <w:tab/>
      </w:r>
      <w:r>
        <w:t xml:space="preserve">How (and by whom) are the findings analyzed </w:t>
      </w:r>
      <w:proofErr w:type="gramStart"/>
      <w:r>
        <w:t>in order to</w:t>
      </w:r>
      <w:proofErr w:type="gramEnd"/>
      <w:r>
        <w:t xml:space="preserve"> take possible action on the</w:t>
      </w:r>
      <w:r>
        <w:rPr>
          <w:spacing w:val="-25"/>
        </w:rPr>
        <w:t xml:space="preserve"> </w:t>
      </w:r>
      <w:r>
        <w:t>findings?</w:t>
      </w:r>
    </w:p>
    <w:p w14:paraId="19AEDF4C" w14:textId="77777777" w:rsidR="001A3CB1" w:rsidRDefault="001A3CB1" w:rsidP="001A3CB1">
      <w:pPr>
        <w:pStyle w:val="BodyText"/>
        <w:tabs>
          <w:tab w:val="left" w:pos="720"/>
        </w:tabs>
        <w:spacing w:before="146" w:line="276" w:lineRule="auto"/>
        <w:ind w:left="720" w:right="1600" w:hanging="361"/>
      </w:pPr>
      <w:r>
        <w:rPr>
          <w:rFonts w:ascii="Arial" w:hAnsi="Arial"/>
        </w:rPr>
        <w:t></w:t>
      </w:r>
      <w:r>
        <w:rPr>
          <w:rFonts w:ascii="Arial" w:hAnsi="Arial"/>
        </w:rPr>
        <w:tab/>
      </w:r>
      <w:r>
        <w:t>If weaknesses are found, what is the process for seeking improvements in the delivery of academic and student support services? What are some of the efforts made to improve services?</w:t>
      </w:r>
    </w:p>
    <w:p w14:paraId="64B931C3" w14:textId="77777777" w:rsidR="001A3CB1" w:rsidRDefault="001A3CB1" w:rsidP="001A3CB1">
      <w:pPr>
        <w:pStyle w:val="BodyText"/>
        <w:tabs>
          <w:tab w:val="left" w:pos="720"/>
        </w:tabs>
        <w:spacing w:before="108" w:line="276" w:lineRule="auto"/>
        <w:ind w:left="720" w:right="2054" w:hanging="361"/>
      </w:pPr>
      <w:r>
        <w:rPr>
          <w:rFonts w:ascii="Arial" w:hAnsi="Arial"/>
        </w:rPr>
        <w:t></w:t>
      </w:r>
      <w:r>
        <w:rPr>
          <w:rFonts w:ascii="Arial" w:hAnsi="Arial"/>
        </w:rPr>
        <w:tab/>
      </w:r>
      <w:r>
        <w:t>If the institution used sampling, why were the sampling and findings an appropriate representation of the institution’s academic and student support</w:t>
      </w:r>
      <w:r>
        <w:rPr>
          <w:spacing w:val="-10"/>
        </w:rPr>
        <w:t xml:space="preserve"> </w:t>
      </w:r>
      <w:r>
        <w:t>units?</w:t>
      </w:r>
    </w:p>
    <w:p w14:paraId="2FB6E6CC" w14:textId="77777777" w:rsidR="001A3CB1" w:rsidRDefault="001A3CB1" w:rsidP="001A3CB1">
      <w:pPr>
        <w:pStyle w:val="BodyText"/>
        <w:spacing w:before="6"/>
        <w:rPr>
          <w:sz w:val="32"/>
        </w:rPr>
      </w:pPr>
    </w:p>
    <w:p w14:paraId="16C0FB9A" w14:textId="77777777" w:rsidR="001A3CB1" w:rsidRDefault="001A3CB1" w:rsidP="001A3CB1">
      <w:pPr>
        <w:pStyle w:val="Heading3"/>
        <w:rPr>
          <w:rFonts w:ascii="Arial"/>
        </w:rPr>
      </w:pPr>
      <w:r>
        <w:rPr>
          <w:rFonts w:ascii="Arial"/>
          <w:color w:val="00619A"/>
          <w:spacing w:val="-1"/>
          <w:w w:val="80"/>
        </w:rPr>
        <w:t xml:space="preserve">Sample </w:t>
      </w:r>
      <w:r>
        <w:rPr>
          <w:rFonts w:ascii="Arial"/>
          <w:color w:val="00619A"/>
          <w:spacing w:val="51"/>
          <w:w w:val="80"/>
        </w:rPr>
        <w:t xml:space="preserve"> </w:t>
      </w:r>
      <w:r>
        <w:rPr>
          <w:rFonts w:ascii="Arial"/>
          <w:color w:val="00619A"/>
          <w:w w:val="80"/>
        </w:rPr>
        <w:t>Documentation</w:t>
      </w:r>
    </w:p>
    <w:p w14:paraId="0480EE1C" w14:textId="77777777" w:rsidR="001A3CB1" w:rsidRDefault="001A3CB1" w:rsidP="001A3CB1">
      <w:pPr>
        <w:pStyle w:val="BodyText"/>
        <w:tabs>
          <w:tab w:val="left" w:pos="720"/>
        </w:tabs>
        <w:spacing w:before="122" w:line="278" w:lineRule="auto"/>
        <w:ind w:left="720" w:right="1803" w:hanging="361"/>
      </w:pPr>
      <w:r>
        <w:rPr>
          <w:rFonts w:ascii="Arial" w:hAnsi="Arial"/>
        </w:rPr>
        <w:t></w:t>
      </w:r>
      <w:r>
        <w:rPr>
          <w:rFonts w:ascii="Arial" w:hAnsi="Arial"/>
        </w:rPr>
        <w:tab/>
      </w:r>
      <w:r>
        <w:t>Information as to how the institution’s academic and student support services units are structured for reporting</w:t>
      </w:r>
      <w:r>
        <w:rPr>
          <w:spacing w:val="-3"/>
        </w:rPr>
        <w:t xml:space="preserve"> </w:t>
      </w:r>
      <w:r>
        <w:t>purposes.</w:t>
      </w:r>
    </w:p>
    <w:p w14:paraId="613B4D42" w14:textId="77777777" w:rsidR="001A3CB1" w:rsidRDefault="001A3CB1" w:rsidP="001A3CB1">
      <w:pPr>
        <w:pStyle w:val="BodyText"/>
        <w:tabs>
          <w:tab w:val="left" w:pos="720"/>
        </w:tabs>
        <w:spacing w:before="104" w:line="278" w:lineRule="auto"/>
        <w:ind w:left="720" w:right="1754" w:hanging="361"/>
      </w:pPr>
      <w:r>
        <w:rPr>
          <w:rFonts w:ascii="Arial" w:hAnsi="Arial"/>
        </w:rPr>
        <w:t></w:t>
      </w:r>
      <w:r>
        <w:rPr>
          <w:rFonts w:ascii="Arial" w:hAnsi="Arial"/>
        </w:rPr>
        <w:tab/>
      </w:r>
      <w:r>
        <w:t>Specific expected outcomes for academic and student support services units, to include expected student learning outcomes as</w:t>
      </w:r>
      <w:r>
        <w:rPr>
          <w:spacing w:val="-7"/>
        </w:rPr>
        <w:t xml:space="preserve"> </w:t>
      </w:r>
      <w:r>
        <w:t>appropriate.</w:t>
      </w:r>
    </w:p>
    <w:p w14:paraId="3B0FD9CF" w14:textId="77777777" w:rsidR="001A3CB1" w:rsidRDefault="001A3CB1" w:rsidP="001A3CB1">
      <w:pPr>
        <w:pStyle w:val="BodyText"/>
        <w:tabs>
          <w:tab w:val="left" w:pos="720"/>
        </w:tabs>
        <w:spacing w:before="103"/>
        <w:ind w:left="360"/>
      </w:pPr>
      <w:r>
        <w:rPr>
          <w:rFonts w:ascii="Arial" w:hAnsi="Arial"/>
        </w:rPr>
        <w:t></w:t>
      </w:r>
      <w:r>
        <w:rPr>
          <w:rFonts w:ascii="Arial" w:hAnsi="Arial"/>
        </w:rPr>
        <w:tab/>
      </w:r>
      <w:r>
        <w:t>Specific evidence of the assessment of</w:t>
      </w:r>
      <w:r>
        <w:rPr>
          <w:spacing w:val="-14"/>
        </w:rPr>
        <w:t xml:space="preserve"> </w:t>
      </w:r>
      <w:r>
        <w:t>outcomes.</w:t>
      </w:r>
    </w:p>
    <w:p w14:paraId="6A23A533" w14:textId="77777777" w:rsidR="001A3CB1" w:rsidRDefault="001A3CB1" w:rsidP="001A3CB1">
      <w:pPr>
        <w:pStyle w:val="BodyText"/>
        <w:tabs>
          <w:tab w:val="left" w:pos="720"/>
        </w:tabs>
        <w:spacing w:before="144"/>
        <w:ind w:left="360"/>
      </w:pPr>
      <w:r>
        <w:rPr>
          <w:rFonts w:ascii="Arial" w:hAnsi="Arial"/>
        </w:rPr>
        <w:t></w:t>
      </w:r>
      <w:r>
        <w:rPr>
          <w:rFonts w:ascii="Arial" w:hAnsi="Arial"/>
        </w:rPr>
        <w:tab/>
      </w:r>
      <w:r>
        <w:t>Information as to how findings are</w:t>
      </w:r>
      <w:r>
        <w:rPr>
          <w:spacing w:val="-11"/>
        </w:rPr>
        <w:t xml:space="preserve"> </w:t>
      </w:r>
      <w:r>
        <w:t>analyzed.</w:t>
      </w:r>
    </w:p>
    <w:p w14:paraId="74858EE9" w14:textId="77777777" w:rsidR="001A3CB1" w:rsidRDefault="001A3CB1" w:rsidP="001A3CB1">
      <w:pPr>
        <w:pStyle w:val="BodyText"/>
        <w:tabs>
          <w:tab w:val="left" w:pos="721"/>
        </w:tabs>
        <w:spacing w:before="147"/>
        <w:ind w:left="361"/>
      </w:pPr>
      <w:r>
        <w:rPr>
          <w:rFonts w:ascii="Arial" w:hAnsi="Arial"/>
        </w:rPr>
        <w:t></w:t>
      </w:r>
      <w:r>
        <w:rPr>
          <w:rFonts w:ascii="Arial" w:hAnsi="Arial"/>
        </w:rPr>
        <w:tab/>
      </w:r>
      <w:r>
        <w:t>Examples of units seeking improvements based on this</w:t>
      </w:r>
      <w:r>
        <w:rPr>
          <w:spacing w:val="-16"/>
        </w:rPr>
        <w:t xml:space="preserve"> </w:t>
      </w:r>
      <w:r>
        <w:t>analysis.</w:t>
      </w:r>
    </w:p>
    <w:p w14:paraId="1CBF87BA" w14:textId="77777777" w:rsidR="001A3CB1" w:rsidRDefault="001A3CB1" w:rsidP="001A3CB1">
      <w:pPr>
        <w:pStyle w:val="BodyText"/>
        <w:tabs>
          <w:tab w:val="left" w:pos="720"/>
        </w:tabs>
        <w:spacing w:before="94" w:line="276" w:lineRule="auto"/>
        <w:ind w:left="719" w:right="1306" w:hanging="360"/>
      </w:pPr>
      <w:r>
        <w:rPr>
          <w:rFonts w:ascii="Arial" w:hAnsi="Arial"/>
        </w:rPr>
        <w:t></w:t>
      </w:r>
      <w:r>
        <w:rPr>
          <w:rFonts w:ascii="Arial" w:hAnsi="Arial"/>
        </w:rPr>
        <w:tab/>
      </w:r>
      <w:r>
        <w:rPr>
          <w:rFonts w:ascii="Arial" w:hAnsi="Arial"/>
        </w:rPr>
        <w:tab/>
      </w:r>
      <w:r>
        <w:t>If sampling is used, (1) how the sampling is representative of the institution’s mission, (2) documentation of a valid cross-section of units, and (3) make a case as to why sampling and assessment findings are an appropriate representation of the institution’s</w:t>
      </w:r>
      <w:r>
        <w:rPr>
          <w:spacing w:val="-15"/>
        </w:rPr>
        <w:t xml:space="preserve"> </w:t>
      </w:r>
      <w:r>
        <w:t>units.</w:t>
      </w:r>
    </w:p>
    <w:p w14:paraId="7AC69DAB" w14:textId="77777777" w:rsidR="001A3CB1" w:rsidRDefault="001A3CB1" w:rsidP="001A3CB1">
      <w:pPr>
        <w:pStyle w:val="BodyText"/>
        <w:tabs>
          <w:tab w:val="left" w:pos="720"/>
        </w:tabs>
        <w:spacing w:before="108"/>
        <w:ind w:left="360"/>
      </w:pPr>
      <w:r>
        <w:rPr>
          <w:rFonts w:ascii="Arial" w:hAnsi="Arial"/>
        </w:rPr>
        <w:t></w:t>
      </w:r>
      <w:r>
        <w:rPr>
          <w:rFonts w:ascii="Arial" w:hAnsi="Arial"/>
        </w:rPr>
        <w:tab/>
      </w:r>
      <w:r>
        <w:t>Discussion of how assessments address different types of student</w:t>
      </w:r>
      <w:r>
        <w:rPr>
          <w:spacing w:val="-17"/>
        </w:rPr>
        <w:t xml:space="preserve"> </w:t>
      </w:r>
      <w:r>
        <w:t>populations.</w:t>
      </w:r>
    </w:p>
    <w:p w14:paraId="309BA4AE" w14:textId="77777777" w:rsidR="001A3CB1" w:rsidRDefault="001A3CB1" w:rsidP="001A3CB1">
      <w:pPr>
        <w:pStyle w:val="BodyText"/>
        <w:spacing w:before="6"/>
        <w:rPr>
          <w:sz w:val="25"/>
        </w:rPr>
      </w:pPr>
    </w:p>
    <w:p w14:paraId="47A14730" w14:textId="77777777" w:rsidR="001A3CB1" w:rsidRDefault="001A3CB1"/>
    <w:sectPr w:rsidR="001A3CB1">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D04AFB" w14:textId="77777777" w:rsidR="00DA19C9" w:rsidRDefault="00DA19C9" w:rsidP="001A3CB1">
      <w:r>
        <w:separator/>
      </w:r>
    </w:p>
  </w:endnote>
  <w:endnote w:type="continuationSeparator" w:id="0">
    <w:p w14:paraId="25C5E684" w14:textId="77777777" w:rsidR="00DA19C9" w:rsidRDefault="00DA19C9" w:rsidP="001A3C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mes New Roman (Headings CS)">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TimesNewRomanPS-BoldItalicMT">
    <w:altName w:val="Times New Roman"/>
    <w:panose1 w:val="020B0604020202020204"/>
    <w:charset w:val="0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3D272" w14:textId="17D7FE20" w:rsidR="003E5DF4" w:rsidRDefault="003E5DF4">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DC95E3" w14:textId="77777777" w:rsidR="00DA19C9" w:rsidRDefault="00DA19C9" w:rsidP="001A3CB1">
      <w:r>
        <w:separator/>
      </w:r>
    </w:p>
  </w:footnote>
  <w:footnote w:type="continuationSeparator" w:id="0">
    <w:p w14:paraId="3A5078FB" w14:textId="77777777" w:rsidR="00DA19C9" w:rsidRDefault="00DA19C9" w:rsidP="001A3C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704142"/>
    <w:multiLevelType w:val="hybridMultilevel"/>
    <w:tmpl w:val="8CEA4E02"/>
    <w:lvl w:ilvl="0" w:tplc="399EBE7C">
      <w:start w:val="1"/>
      <w:numFmt w:val="lowerLetter"/>
      <w:lvlText w:val="%1."/>
      <w:lvlJc w:val="left"/>
      <w:pPr>
        <w:ind w:left="1548" w:hanging="468"/>
        <w:jc w:val="left"/>
      </w:pPr>
      <w:rPr>
        <w:rFonts w:ascii="Times New Roman" w:eastAsia="Times New Roman" w:hAnsi="Times New Roman" w:cs="Times New Roman" w:hint="default"/>
        <w:b/>
        <w:bCs/>
        <w:color w:val="221F1F"/>
        <w:spacing w:val="-3"/>
        <w:w w:val="94"/>
        <w:sz w:val="26"/>
        <w:szCs w:val="26"/>
        <w:lang w:val="en-US" w:eastAsia="en-US" w:bidi="ar-SA"/>
      </w:rPr>
    </w:lvl>
    <w:lvl w:ilvl="1" w:tplc="46520F7A">
      <w:numFmt w:val="bullet"/>
      <w:lvlText w:val="•"/>
      <w:lvlJc w:val="left"/>
      <w:pPr>
        <w:ind w:left="2400" w:hanging="468"/>
      </w:pPr>
      <w:rPr>
        <w:rFonts w:hint="default"/>
        <w:lang w:val="en-US" w:eastAsia="en-US" w:bidi="ar-SA"/>
      </w:rPr>
    </w:lvl>
    <w:lvl w:ilvl="2" w:tplc="04F443EA">
      <w:numFmt w:val="bullet"/>
      <w:lvlText w:val="•"/>
      <w:lvlJc w:val="left"/>
      <w:pPr>
        <w:ind w:left="3260" w:hanging="468"/>
      </w:pPr>
      <w:rPr>
        <w:rFonts w:hint="default"/>
        <w:lang w:val="en-US" w:eastAsia="en-US" w:bidi="ar-SA"/>
      </w:rPr>
    </w:lvl>
    <w:lvl w:ilvl="3" w:tplc="EE2223E6">
      <w:numFmt w:val="bullet"/>
      <w:lvlText w:val="•"/>
      <w:lvlJc w:val="left"/>
      <w:pPr>
        <w:ind w:left="4120" w:hanging="468"/>
      </w:pPr>
      <w:rPr>
        <w:rFonts w:hint="default"/>
        <w:lang w:val="en-US" w:eastAsia="en-US" w:bidi="ar-SA"/>
      </w:rPr>
    </w:lvl>
    <w:lvl w:ilvl="4" w:tplc="8FA8B8C4">
      <w:numFmt w:val="bullet"/>
      <w:lvlText w:val="•"/>
      <w:lvlJc w:val="left"/>
      <w:pPr>
        <w:ind w:left="4980" w:hanging="468"/>
      </w:pPr>
      <w:rPr>
        <w:rFonts w:hint="default"/>
        <w:lang w:val="en-US" w:eastAsia="en-US" w:bidi="ar-SA"/>
      </w:rPr>
    </w:lvl>
    <w:lvl w:ilvl="5" w:tplc="A80C7BA6">
      <w:numFmt w:val="bullet"/>
      <w:lvlText w:val="•"/>
      <w:lvlJc w:val="left"/>
      <w:pPr>
        <w:ind w:left="5840" w:hanging="468"/>
      </w:pPr>
      <w:rPr>
        <w:rFonts w:hint="default"/>
        <w:lang w:val="en-US" w:eastAsia="en-US" w:bidi="ar-SA"/>
      </w:rPr>
    </w:lvl>
    <w:lvl w:ilvl="6" w:tplc="29BC81C2">
      <w:numFmt w:val="bullet"/>
      <w:lvlText w:val="•"/>
      <w:lvlJc w:val="left"/>
      <w:pPr>
        <w:ind w:left="6700" w:hanging="468"/>
      </w:pPr>
      <w:rPr>
        <w:rFonts w:hint="default"/>
        <w:lang w:val="en-US" w:eastAsia="en-US" w:bidi="ar-SA"/>
      </w:rPr>
    </w:lvl>
    <w:lvl w:ilvl="7" w:tplc="6456D80C">
      <w:numFmt w:val="bullet"/>
      <w:lvlText w:val="•"/>
      <w:lvlJc w:val="left"/>
      <w:pPr>
        <w:ind w:left="7560" w:hanging="468"/>
      </w:pPr>
      <w:rPr>
        <w:rFonts w:hint="default"/>
        <w:lang w:val="en-US" w:eastAsia="en-US" w:bidi="ar-SA"/>
      </w:rPr>
    </w:lvl>
    <w:lvl w:ilvl="8" w:tplc="03F09118">
      <w:numFmt w:val="bullet"/>
      <w:lvlText w:val="•"/>
      <w:lvlJc w:val="left"/>
      <w:pPr>
        <w:ind w:left="8420" w:hanging="468"/>
      </w:pPr>
      <w:rPr>
        <w:rFonts w:hint="default"/>
        <w:lang w:val="en-US" w:eastAsia="en-US" w:bidi="ar-SA"/>
      </w:rPr>
    </w:lvl>
  </w:abstractNum>
  <w:abstractNum w:abstractNumId="1" w15:restartNumberingAfterBreak="0">
    <w:nsid w:val="6EC70637"/>
    <w:multiLevelType w:val="hybridMultilevel"/>
    <w:tmpl w:val="418A9D96"/>
    <w:lvl w:ilvl="0" w:tplc="2460BC38">
      <w:start w:val="1"/>
      <w:numFmt w:val="decimal"/>
      <w:lvlText w:val="(%1)"/>
      <w:lvlJc w:val="left"/>
      <w:pPr>
        <w:ind w:left="1080" w:hanging="360"/>
        <w:jc w:val="left"/>
      </w:pPr>
      <w:rPr>
        <w:rFonts w:ascii="Times New Roman" w:eastAsia="Times New Roman" w:hAnsi="Times New Roman" w:cs="Times New Roman" w:hint="default"/>
        <w:i/>
        <w:color w:val="221F1F"/>
        <w:spacing w:val="-3"/>
        <w:w w:val="103"/>
        <w:sz w:val="22"/>
        <w:szCs w:val="22"/>
        <w:lang w:val="en-US" w:eastAsia="en-US" w:bidi="ar-SA"/>
      </w:rPr>
    </w:lvl>
    <w:lvl w:ilvl="1" w:tplc="3C0E4CAE">
      <w:start w:val="1"/>
      <w:numFmt w:val="lowerLetter"/>
      <w:lvlText w:val="(%2)"/>
      <w:lvlJc w:val="left"/>
      <w:pPr>
        <w:ind w:left="1548" w:hanging="468"/>
        <w:jc w:val="left"/>
      </w:pPr>
      <w:rPr>
        <w:rFonts w:ascii="Times New Roman" w:eastAsia="Times New Roman" w:hAnsi="Times New Roman" w:cs="Times New Roman" w:hint="default"/>
        <w:b/>
        <w:bCs/>
        <w:color w:val="221F1F"/>
        <w:spacing w:val="-2"/>
        <w:w w:val="98"/>
        <w:sz w:val="26"/>
        <w:szCs w:val="26"/>
        <w:lang w:val="en-US" w:eastAsia="en-US" w:bidi="ar-SA"/>
      </w:rPr>
    </w:lvl>
    <w:lvl w:ilvl="2" w:tplc="0EF40C5E">
      <w:numFmt w:val="bullet"/>
      <w:lvlText w:val="•"/>
      <w:lvlJc w:val="left"/>
      <w:pPr>
        <w:ind w:left="2495" w:hanging="468"/>
      </w:pPr>
      <w:rPr>
        <w:rFonts w:hint="default"/>
        <w:lang w:val="en-US" w:eastAsia="en-US" w:bidi="ar-SA"/>
      </w:rPr>
    </w:lvl>
    <w:lvl w:ilvl="3" w:tplc="BA62E40E">
      <w:numFmt w:val="bullet"/>
      <w:lvlText w:val="•"/>
      <w:lvlJc w:val="left"/>
      <w:pPr>
        <w:ind w:left="3451" w:hanging="468"/>
      </w:pPr>
      <w:rPr>
        <w:rFonts w:hint="default"/>
        <w:lang w:val="en-US" w:eastAsia="en-US" w:bidi="ar-SA"/>
      </w:rPr>
    </w:lvl>
    <w:lvl w:ilvl="4" w:tplc="7AA823B0">
      <w:numFmt w:val="bullet"/>
      <w:lvlText w:val="•"/>
      <w:lvlJc w:val="left"/>
      <w:pPr>
        <w:ind w:left="4406" w:hanging="468"/>
      </w:pPr>
      <w:rPr>
        <w:rFonts w:hint="default"/>
        <w:lang w:val="en-US" w:eastAsia="en-US" w:bidi="ar-SA"/>
      </w:rPr>
    </w:lvl>
    <w:lvl w:ilvl="5" w:tplc="7D90905A">
      <w:numFmt w:val="bullet"/>
      <w:lvlText w:val="•"/>
      <w:lvlJc w:val="left"/>
      <w:pPr>
        <w:ind w:left="5362" w:hanging="468"/>
      </w:pPr>
      <w:rPr>
        <w:rFonts w:hint="default"/>
        <w:lang w:val="en-US" w:eastAsia="en-US" w:bidi="ar-SA"/>
      </w:rPr>
    </w:lvl>
    <w:lvl w:ilvl="6" w:tplc="61F0B97A">
      <w:numFmt w:val="bullet"/>
      <w:lvlText w:val="•"/>
      <w:lvlJc w:val="left"/>
      <w:pPr>
        <w:ind w:left="6317" w:hanging="468"/>
      </w:pPr>
      <w:rPr>
        <w:rFonts w:hint="default"/>
        <w:lang w:val="en-US" w:eastAsia="en-US" w:bidi="ar-SA"/>
      </w:rPr>
    </w:lvl>
    <w:lvl w:ilvl="7" w:tplc="160AD6B4">
      <w:numFmt w:val="bullet"/>
      <w:lvlText w:val="•"/>
      <w:lvlJc w:val="left"/>
      <w:pPr>
        <w:ind w:left="7273" w:hanging="468"/>
      </w:pPr>
      <w:rPr>
        <w:rFonts w:hint="default"/>
        <w:lang w:val="en-US" w:eastAsia="en-US" w:bidi="ar-SA"/>
      </w:rPr>
    </w:lvl>
    <w:lvl w:ilvl="8" w:tplc="375072FC">
      <w:numFmt w:val="bullet"/>
      <w:lvlText w:val="•"/>
      <w:lvlJc w:val="left"/>
      <w:pPr>
        <w:ind w:left="8228" w:hanging="468"/>
      </w:pPr>
      <w:rPr>
        <w:rFonts w:hint="default"/>
        <w:lang w:val="en-US" w:eastAsia="en-US" w:bidi="ar-SA"/>
      </w:rPr>
    </w:lvl>
  </w:abstractNum>
  <w:num w:numId="1" w16cid:durableId="1033114713">
    <w:abstractNumId w:val="0"/>
  </w:num>
  <w:num w:numId="2" w16cid:durableId="16271543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CB1"/>
    <w:rsid w:val="00093DC3"/>
    <w:rsid w:val="001A3CB1"/>
    <w:rsid w:val="001F1CDA"/>
    <w:rsid w:val="002A7757"/>
    <w:rsid w:val="002B2AD6"/>
    <w:rsid w:val="003E5DF4"/>
    <w:rsid w:val="006A1916"/>
    <w:rsid w:val="006D25A8"/>
    <w:rsid w:val="009302A6"/>
    <w:rsid w:val="00AD040A"/>
    <w:rsid w:val="00BB6B50"/>
    <w:rsid w:val="00D02E0C"/>
    <w:rsid w:val="00D430D5"/>
    <w:rsid w:val="00DA19C9"/>
    <w:rsid w:val="00F203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FBC0A"/>
  <w15:chartTrackingRefBased/>
  <w15:docId w15:val="{3317507E-84EC-B14E-A1A4-0FAD0F83F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CB1"/>
    <w:pPr>
      <w:widowControl w:val="0"/>
      <w:autoSpaceDE w:val="0"/>
      <w:autoSpaceDN w:val="0"/>
    </w:pPr>
    <w:rPr>
      <w:rFonts w:ascii="Times New Roman" w:eastAsia="Times New Roman" w:hAnsi="Times New Roman" w:cs="Times New Roman"/>
      <w:kern w:val="0"/>
      <w:sz w:val="22"/>
      <w:szCs w:val="22"/>
      <w14:ligatures w14:val="none"/>
    </w:rPr>
  </w:style>
  <w:style w:type="paragraph" w:styleId="Heading1">
    <w:name w:val="heading 1"/>
    <w:basedOn w:val="Normal"/>
    <w:next w:val="Normal"/>
    <w:link w:val="Heading1Char"/>
    <w:uiPriority w:val="9"/>
    <w:qFormat/>
    <w:rsid w:val="001A3C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3C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A3C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3C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3C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3CB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3CB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3CB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3CB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3C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3C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3C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3C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3C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3C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3C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3C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3CB1"/>
    <w:rPr>
      <w:rFonts w:eastAsiaTheme="majorEastAsia" w:cstheme="majorBidi"/>
      <w:color w:val="272727" w:themeColor="text1" w:themeTint="D8"/>
    </w:rPr>
  </w:style>
  <w:style w:type="paragraph" w:styleId="Title">
    <w:name w:val="Title"/>
    <w:basedOn w:val="Normal"/>
    <w:next w:val="Normal"/>
    <w:link w:val="TitleChar"/>
    <w:uiPriority w:val="10"/>
    <w:qFormat/>
    <w:rsid w:val="001A3CB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3C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3CB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3C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3CB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A3CB1"/>
    <w:rPr>
      <w:i/>
      <w:iCs/>
      <w:color w:val="404040" w:themeColor="text1" w:themeTint="BF"/>
    </w:rPr>
  </w:style>
  <w:style w:type="paragraph" w:styleId="ListParagraph">
    <w:name w:val="List Paragraph"/>
    <w:basedOn w:val="Normal"/>
    <w:uiPriority w:val="1"/>
    <w:qFormat/>
    <w:rsid w:val="001A3CB1"/>
    <w:pPr>
      <w:ind w:left="720"/>
      <w:contextualSpacing/>
    </w:pPr>
  </w:style>
  <w:style w:type="character" w:styleId="IntenseEmphasis">
    <w:name w:val="Intense Emphasis"/>
    <w:basedOn w:val="DefaultParagraphFont"/>
    <w:uiPriority w:val="21"/>
    <w:qFormat/>
    <w:rsid w:val="001A3CB1"/>
    <w:rPr>
      <w:i/>
      <w:iCs/>
      <w:color w:val="0F4761" w:themeColor="accent1" w:themeShade="BF"/>
    </w:rPr>
  </w:style>
  <w:style w:type="paragraph" w:styleId="IntenseQuote">
    <w:name w:val="Intense Quote"/>
    <w:basedOn w:val="Normal"/>
    <w:next w:val="Normal"/>
    <w:link w:val="IntenseQuoteChar"/>
    <w:uiPriority w:val="30"/>
    <w:qFormat/>
    <w:rsid w:val="001A3C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3CB1"/>
    <w:rPr>
      <w:i/>
      <w:iCs/>
      <w:color w:val="0F4761" w:themeColor="accent1" w:themeShade="BF"/>
    </w:rPr>
  </w:style>
  <w:style w:type="character" w:styleId="IntenseReference">
    <w:name w:val="Intense Reference"/>
    <w:basedOn w:val="DefaultParagraphFont"/>
    <w:uiPriority w:val="32"/>
    <w:qFormat/>
    <w:rsid w:val="001A3CB1"/>
    <w:rPr>
      <w:b/>
      <w:bCs/>
      <w:smallCaps/>
      <w:color w:val="0F4761" w:themeColor="accent1" w:themeShade="BF"/>
      <w:spacing w:val="5"/>
    </w:rPr>
  </w:style>
  <w:style w:type="paragraph" w:styleId="BodyText">
    <w:name w:val="Body Text"/>
    <w:basedOn w:val="Normal"/>
    <w:link w:val="BodyTextChar"/>
    <w:uiPriority w:val="1"/>
    <w:qFormat/>
    <w:rsid w:val="001A3CB1"/>
  </w:style>
  <w:style w:type="character" w:customStyle="1" w:styleId="BodyTextChar">
    <w:name w:val="Body Text Char"/>
    <w:basedOn w:val="DefaultParagraphFont"/>
    <w:link w:val="BodyText"/>
    <w:uiPriority w:val="1"/>
    <w:rsid w:val="001A3CB1"/>
    <w:rPr>
      <w:rFonts w:ascii="Times New Roman" w:eastAsia="Times New Roman" w:hAnsi="Times New Roman" w:cs="Times New Roman"/>
      <w:kern w:val="0"/>
      <w:sz w:val="22"/>
      <w:szCs w:val="22"/>
      <w14:ligatures w14:val="none"/>
    </w:rPr>
  </w:style>
  <w:style w:type="paragraph" w:styleId="Header">
    <w:name w:val="header"/>
    <w:basedOn w:val="Normal"/>
    <w:link w:val="HeaderChar"/>
    <w:uiPriority w:val="99"/>
    <w:unhideWhenUsed/>
    <w:rsid w:val="001A3CB1"/>
    <w:pPr>
      <w:tabs>
        <w:tab w:val="center" w:pos="4680"/>
        <w:tab w:val="right" w:pos="9360"/>
      </w:tabs>
    </w:pPr>
  </w:style>
  <w:style w:type="character" w:customStyle="1" w:styleId="HeaderChar">
    <w:name w:val="Header Char"/>
    <w:basedOn w:val="DefaultParagraphFont"/>
    <w:link w:val="Header"/>
    <w:uiPriority w:val="99"/>
    <w:rsid w:val="001A3CB1"/>
    <w:rPr>
      <w:rFonts w:ascii="Times New Roman" w:eastAsia="Times New Roman" w:hAnsi="Times New Roman" w:cs="Times New Roman"/>
      <w:kern w:val="0"/>
      <w:sz w:val="22"/>
      <w:szCs w:val="22"/>
      <w14:ligatures w14:val="none"/>
    </w:rPr>
  </w:style>
  <w:style w:type="paragraph" w:styleId="Footer">
    <w:name w:val="footer"/>
    <w:basedOn w:val="Normal"/>
    <w:link w:val="FooterChar"/>
    <w:uiPriority w:val="99"/>
    <w:unhideWhenUsed/>
    <w:rsid w:val="001A3CB1"/>
    <w:pPr>
      <w:tabs>
        <w:tab w:val="center" w:pos="4680"/>
        <w:tab w:val="right" w:pos="9360"/>
      </w:tabs>
    </w:pPr>
  </w:style>
  <w:style w:type="character" w:customStyle="1" w:styleId="FooterChar">
    <w:name w:val="Footer Char"/>
    <w:basedOn w:val="DefaultParagraphFont"/>
    <w:link w:val="Footer"/>
    <w:uiPriority w:val="99"/>
    <w:rsid w:val="001A3CB1"/>
    <w:rPr>
      <w:rFonts w:ascii="Times New Roman" w:eastAsia="Times New Roman" w:hAnsi="Times New Roman"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1305</Words>
  <Characters>7440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Berea College</Company>
  <LinksUpToDate>false</LinksUpToDate>
  <CharactersWithSpaces>8728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 Smith</dc:creator>
  <cp:keywords/>
  <dc:description/>
  <cp:lastModifiedBy>R Smith</cp:lastModifiedBy>
  <cp:revision>2</cp:revision>
  <dcterms:created xsi:type="dcterms:W3CDTF">2024-06-04T14:20:00Z</dcterms:created>
  <dcterms:modified xsi:type="dcterms:W3CDTF">2024-06-06T12:19:00Z</dcterms:modified>
</cp:coreProperties>
</file>