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F988B" w14:textId="0A12844F" w:rsidR="00D41C61" w:rsidRPr="00D41C61" w:rsidRDefault="00D41C61" w:rsidP="00D41C61">
      <w:pPr>
        <w:pStyle w:val="Heading3"/>
        <w:spacing w:before="0" w:after="0" w:line="264" w:lineRule="auto"/>
        <w:ind w:right="1051"/>
        <w:rPr>
          <w:rFonts w:cs="Times New Roman (Headings CS)"/>
          <w:i/>
          <w:iCs/>
          <w:color w:val="221F1F"/>
          <w:sz w:val="20"/>
          <w:szCs w:val="20"/>
        </w:rPr>
      </w:pPr>
      <w:r w:rsidRPr="00D41C61">
        <w:rPr>
          <w:rFonts w:cs="Times New Roman (Headings CS)"/>
          <w:i/>
          <w:iCs/>
          <w:color w:val="221F1F"/>
          <w:sz w:val="20"/>
          <w:szCs w:val="20"/>
        </w:rPr>
        <w:t xml:space="preserve">From SACSCOC’s “Resource Manual for the Principles of Accreditation: Foundations for Quality Enhancement” (2020). </w:t>
      </w:r>
    </w:p>
    <w:p w14:paraId="16D52361" w14:textId="77777777" w:rsidR="00D41C61" w:rsidRDefault="00D41C61" w:rsidP="00D41C61">
      <w:pPr>
        <w:pStyle w:val="Heading3"/>
        <w:spacing w:before="0" w:after="0" w:line="264" w:lineRule="auto"/>
        <w:ind w:right="1051"/>
        <w:rPr>
          <w:rFonts w:cs="Times New Roman (Headings CS)"/>
          <w:color w:val="221F1F"/>
        </w:rPr>
      </w:pPr>
    </w:p>
    <w:p w14:paraId="60058069" w14:textId="0114D251" w:rsidR="00086DE6" w:rsidRPr="00D41C61" w:rsidRDefault="00086DE6" w:rsidP="00D41C61">
      <w:pPr>
        <w:pStyle w:val="Heading3"/>
        <w:spacing w:before="0" w:after="0" w:line="264" w:lineRule="auto"/>
        <w:ind w:left="1080" w:right="1051"/>
        <w:rPr>
          <w:rFonts w:cs="Times New Roman (Headings CS)"/>
          <w:b/>
        </w:rPr>
      </w:pPr>
      <w:r w:rsidRPr="00D41C61">
        <w:rPr>
          <w:rFonts w:cs="Times New Roman (Headings CS)"/>
          <w:noProof/>
        </w:rPr>
        <mc:AlternateContent>
          <mc:Choice Requires="wpg">
            <w:drawing>
              <wp:anchor distT="0" distB="0" distL="114300" distR="114300" simplePos="0" relativeHeight="251659264" behindDoc="0" locked="0" layoutInCell="1" allowOverlap="1" wp14:anchorId="4E164B21" wp14:editId="484D1F95">
                <wp:simplePos x="0" y="0"/>
                <wp:positionH relativeFrom="page">
                  <wp:posOffset>1089660</wp:posOffset>
                </wp:positionH>
                <wp:positionV relativeFrom="paragraph">
                  <wp:posOffset>66040</wp:posOffset>
                </wp:positionV>
                <wp:extent cx="402590" cy="401955"/>
                <wp:effectExtent l="0" t="12700" r="3810" b="4445"/>
                <wp:wrapNone/>
                <wp:docPr id="501571628"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 cy="401955"/>
                          <a:chOff x="1716" y="104"/>
                          <a:chExt cx="634" cy="633"/>
                        </a:xfrm>
                      </wpg:grpSpPr>
                      <wps:wsp>
                        <wps:cNvPr id="2145971562" name="Freeform 168"/>
                        <wps:cNvSpPr>
                          <a:spLocks/>
                        </wps:cNvSpPr>
                        <wps:spPr bwMode="auto">
                          <a:xfrm>
                            <a:off x="1716" y="103"/>
                            <a:ext cx="634" cy="633"/>
                          </a:xfrm>
                          <a:custGeom>
                            <a:avLst/>
                            <a:gdLst>
                              <a:gd name="T0" fmla="+- 0 2033 1716"/>
                              <a:gd name="T1" fmla="*/ T0 w 634"/>
                              <a:gd name="T2" fmla="+- 0 104 104"/>
                              <a:gd name="T3" fmla="*/ 104 h 633"/>
                              <a:gd name="T4" fmla="+- 0 1957 1716"/>
                              <a:gd name="T5" fmla="*/ T4 w 634"/>
                              <a:gd name="T6" fmla="+- 0 113 104"/>
                              <a:gd name="T7" fmla="*/ 113 h 633"/>
                              <a:gd name="T8" fmla="+- 0 1887 1716"/>
                              <a:gd name="T9" fmla="*/ T8 w 634"/>
                              <a:gd name="T10" fmla="+- 0 139 104"/>
                              <a:gd name="T11" fmla="*/ 139 h 633"/>
                              <a:gd name="T12" fmla="+- 0 1827 1716"/>
                              <a:gd name="T13" fmla="*/ T12 w 634"/>
                              <a:gd name="T14" fmla="+- 0 180 104"/>
                              <a:gd name="T15" fmla="*/ 180 h 633"/>
                              <a:gd name="T16" fmla="+- 0 1777 1716"/>
                              <a:gd name="T17" fmla="*/ T16 w 634"/>
                              <a:gd name="T18" fmla="+- 0 233 104"/>
                              <a:gd name="T19" fmla="*/ 233 h 633"/>
                              <a:gd name="T20" fmla="+- 0 1741 1716"/>
                              <a:gd name="T21" fmla="*/ T20 w 634"/>
                              <a:gd name="T22" fmla="+- 0 297 104"/>
                              <a:gd name="T23" fmla="*/ 297 h 633"/>
                              <a:gd name="T24" fmla="+- 0 1720 1716"/>
                              <a:gd name="T25" fmla="*/ T24 w 634"/>
                              <a:gd name="T26" fmla="+- 0 369 104"/>
                              <a:gd name="T27" fmla="*/ 369 h 633"/>
                              <a:gd name="T28" fmla="+- 0 1716 1716"/>
                              <a:gd name="T29" fmla="*/ T28 w 634"/>
                              <a:gd name="T30" fmla="+- 0 421 104"/>
                              <a:gd name="T31" fmla="*/ 421 h 633"/>
                              <a:gd name="T32" fmla="+- 0 1717 1716"/>
                              <a:gd name="T33" fmla="*/ T32 w 634"/>
                              <a:gd name="T34" fmla="+- 0 447 104"/>
                              <a:gd name="T35" fmla="*/ 447 h 633"/>
                              <a:gd name="T36" fmla="+- 0 1732 1716"/>
                              <a:gd name="T37" fmla="*/ T36 w 634"/>
                              <a:gd name="T38" fmla="+- 0 521 104"/>
                              <a:gd name="T39" fmla="*/ 521 h 633"/>
                              <a:gd name="T40" fmla="+- 0 1763 1716"/>
                              <a:gd name="T41" fmla="*/ T40 w 634"/>
                              <a:gd name="T42" fmla="+- 0 587 104"/>
                              <a:gd name="T43" fmla="*/ 587 h 633"/>
                              <a:gd name="T44" fmla="+- 0 1809 1716"/>
                              <a:gd name="T45" fmla="*/ T44 w 634"/>
                              <a:gd name="T46" fmla="+- 0 645 104"/>
                              <a:gd name="T47" fmla="*/ 645 h 633"/>
                              <a:gd name="T48" fmla="+- 0 1866 1716"/>
                              <a:gd name="T49" fmla="*/ T48 w 634"/>
                              <a:gd name="T50" fmla="+- 0 690 104"/>
                              <a:gd name="T51" fmla="*/ 690 h 633"/>
                              <a:gd name="T52" fmla="+- 0 1933 1716"/>
                              <a:gd name="T53" fmla="*/ T52 w 634"/>
                              <a:gd name="T54" fmla="+- 0 721 104"/>
                              <a:gd name="T55" fmla="*/ 721 h 633"/>
                              <a:gd name="T56" fmla="+- 0 2007 1716"/>
                              <a:gd name="T57" fmla="*/ T56 w 634"/>
                              <a:gd name="T58" fmla="+- 0 736 104"/>
                              <a:gd name="T59" fmla="*/ 736 h 633"/>
                              <a:gd name="T60" fmla="+- 0 2033 1716"/>
                              <a:gd name="T61" fmla="*/ T60 w 634"/>
                              <a:gd name="T62" fmla="+- 0 737 104"/>
                              <a:gd name="T63" fmla="*/ 737 h 633"/>
                              <a:gd name="T64" fmla="+- 0 2059 1716"/>
                              <a:gd name="T65" fmla="*/ T64 w 634"/>
                              <a:gd name="T66" fmla="+- 0 736 104"/>
                              <a:gd name="T67" fmla="*/ 736 h 633"/>
                              <a:gd name="T68" fmla="+- 0 2133 1716"/>
                              <a:gd name="T69" fmla="*/ T68 w 634"/>
                              <a:gd name="T70" fmla="+- 0 721 104"/>
                              <a:gd name="T71" fmla="*/ 721 h 633"/>
                              <a:gd name="T72" fmla="+- 0 2200 1716"/>
                              <a:gd name="T73" fmla="*/ T72 w 634"/>
                              <a:gd name="T74" fmla="+- 0 690 104"/>
                              <a:gd name="T75" fmla="*/ 690 h 633"/>
                              <a:gd name="T76" fmla="+- 0 2257 1716"/>
                              <a:gd name="T77" fmla="*/ T76 w 634"/>
                              <a:gd name="T78" fmla="+- 0 645 104"/>
                              <a:gd name="T79" fmla="*/ 645 h 633"/>
                              <a:gd name="T80" fmla="+- 0 2302 1716"/>
                              <a:gd name="T81" fmla="*/ T80 w 634"/>
                              <a:gd name="T82" fmla="+- 0 587 104"/>
                              <a:gd name="T83" fmla="*/ 587 h 633"/>
                              <a:gd name="T84" fmla="+- 0 2333 1716"/>
                              <a:gd name="T85" fmla="*/ T84 w 634"/>
                              <a:gd name="T86" fmla="+- 0 521 104"/>
                              <a:gd name="T87" fmla="*/ 521 h 633"/>
                              <a:gd name="T88" fmla="+- 0 2349 1716"/>
                              <a:gd name="T89" fmla="*/ T88 w 634"/>
                              <a:gd name="T90" fmla="+- 0 447 104"/>
                              <a:gd name="T91" fmla="*/ 447 h 633"/>
                              <a:gd name="T92" fmla="+- 0 2350 1716"/>
                              <a:gd name="T93" fmla="*/ T92 w 634"/>
                              <a:gd name="T94" fmla="+- 0 421 104"/>
                              <a:gd name="T95" fmla="*/ 421 h 633"/>
                              <a:gd name="T96" fmla="+- 0 2349 1716"/>
                              <a:gd name="T97" fmla="*/ T96 w 634"/>
                              <a:gd name="T98" fmla="+- 0 395 104"/>
                              <a:gd name="T99" fmla="*/ 395 h 633"/>
                              <a:gd name="T100" fmla="+- 0 2333 1716"/>
                              <a:gd name="T101" fmla="*/ T100 w 634"/>
                              <a:gd name="T102" fmla="+- 0 320 104"/>
                              <a:gd name="T103" fmla="*/ 320 h 633"/>
                              <a:gd name="T104" fmla="+- 0 2302 1716"/>
                              <a:gd name="T105" fmla="*/ T104 w 634"/>
                              <a:gd name="T106" fmla="+- 0 254 104"/>
                              <a:gd name="T107" fmla="*/ 254 h 633"/>
                              <a:gd name="T108" fmla="+- 0 2257 1716"/>
                              <a:gd name="T109" fmla="*/ T108 w 634"/>
                              <a:gd name="T110" fmla="+- 0 197 104"/>
                              <a:gd name="T111" fmla="*/ 197 h 633"/>
                              <a:gd name="T112" fmla="+- 0 2200 1716"/>
                              <a:gd name="T113" fmla="*/ T112 w 634"/>
                              <a:gd name="T114" fmla="+- 0 151 104"/>
                              <a:gd name="T115" fmla="*/ 151 h 633"/>
                              <a:gd name="T116" fmla="+- 0 2133 1716"/>
                              <a:gd name="T117" fmla="*/ T116 w 634"/>
                              <a:gd name="T118" fmla="+- 0 120 104"/>
                              <a:gd name="T119" fmla="*/ 120 h 633"/>
                              <a:gd name="T120" fmla="+- 0 2059 1716"/>
                              <a:gd name="T121" fmla="*/ T120 w 634"/>
                              <a:gd name="T122" fmla="+- 0 105 104"/>
                              <a:gd name="T123" fmla="*/ 105 h 633"/>
                              <a:gd name="T124" fmla="+- 0 2033 1716"/>
                              <a:gd name="T125" fmla="*/ T124 w 634"/>
                              <a:gd name="T126" fmla="+- 0 104 104"/>
                              <a:gd name="T127" fmla="*/ 104 h 6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634" h="633">
                                <a:moveTo>
                                  <a:pt x="317" y="0"/>
                                </a:moveTo>
                                <a:lnTo>
                                  <a:pt x="241" y="9"/>
                                </a:lnTo>
                                <a:lnTo>
                                  <a:pt x="171" y="35"/>
                                </a:lnTo>
                                <a:lnTo>
                                  <a:pt x="111" y="76"/>
                                </a:lnTo>
                                <a:lnTo>
                                  <a:pt x="61" y="129"/>
                                </a:lnTo>
                                <a:lnTo>
                                  <a:pt x="25" y="193"/>
                                </a:lnTo>
                                <a:lnTo>
                                  <a:pt x="4" y="265"/>
                                </a:lnTo>
                                <a:lnTo>
                                  <a:pt x="0" y="317"/>
                                </a:lnTo>
                                <a:lnTo>
                                  <a:pt x="1" y="343"/>
                                </a:lnTo>
                                <a:lnTo>
                                  <a:pt x="16" y="417"/>
                                </a:lnTo>
                                <a:lnTo>
                                  <a:pt x="47" y="483"/>
                                </a:lnTo>
                                <a:lnTo>
                                  <a:pt x="93" y="541"/>
                                </a:lnTo>
                                <a:lnTo>
                                  <a:pt x="150" y="586"/>
                                </a:lnTo>
                                <a:lnTo>
                                  <a:pt x="217" y="617"/>
                                </a:lnTo>
                                <a:lnTo>
                                  <a:pt x="291" y="632"/>
                                </a:lnTo>
                                <a:lnTo>
                                  <a:pt x="317" y="633"/>
                                </a:lnTo>
                                <a:lnTo>
                                  <a:pt x="343" y="632"/>
                                </a:lnTo>
                                <a:lnTo>
                                  <a:pt x="417" y="617"/>
                                </a:lnTo>
                                <a:lnTo>
                                  <a:pt x="484" y="586"/>
                                </a:lnTo>
                                <a:lnTo>
                                  <a:pt x="541" y="541"/>
                                </a:lnTo>
                                <a:lnTo>
                                  <a:pt x="586" y="483"/>
                                </a:lnTo>
                                <a:lnTo>
                                  <a:pt x="617" y="417"/>
                                </a:lnTo>
                                <a:lnTo>
                                  <a:pt x="633" y="343"/>
                                </a:lnTo>
                                <a:lnTo>
                                  <a:pt x="634" y="317"/>
                                </a:lnTo>
                                <a:lnTo>
                                  <a:pt x="633" y="291"/>
                                </a:lnTo>
                                <a:lnTo>
                                  <a:pt x="617" y="216"/>
                                </a:lnTo>
                                <a:lnTo>
                                  <a:pt x="586" y="150"/>
                                </a:lnTo>
                                <a:lnTo>
                                  <a:pt x="541" y="93"/>
                                </a:lnTo>
                                <a:lnTo>
                                  <a:pt x="484" y="47"/>
                                </a:lnTo>
                                <a:lnTo>
                                  <a:pt x="417" y="16"/>
                                </a:lnTo>
                                <a:lnTo>
                                  <a:pt x="343" y="1"/>
                                </a:lnTo>
                                <a:lnTo>
                                  <a:pt x="317" y="0"/>
                                </a:lnTo>
                                <a:close/>
                              </a:path>
                            </a:pathLst>
                          </a:custGeom>
                          <a:solidFill>
                            <a:srgbClr val="0061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2717440" name="Text Box 169"/>
                        <wps:cNvSpPr txBox="1">
                          <a:spLocks/>
                        </wps:cNvSpPr>
                        <wps:spPr bwMode="auto">
                          <a:xfrm>
                            <a:off x="1716" y="103"/>
                            <a:ext cx="634" cy="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8F791" w14:textId="77777777" w:rsidR="00086DE6" w:rsidRDefault="00086DE6" w:rsidP="00086DE6">
                              <w:pPr>
                                <w:spacing w:before="171"/>
                                <w:ind w:left="155"/>
                                <w:rPr>
                                  <w:b/>
                                  <w:sz w:val="26"/>
                                </w:rPr>
                              </w:pPr>
                              <w:r>
                                <w:rPr>
                                  <w:b/>
                                  <w:color w:val="FFFFFF"/>
                                  <w:sz w:val="26"/>
                                </w:rPr>
                                <w:t>7.3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64B21" id="Group 167" o:spid="_x0000_s1026" style="position:absolute;left:0;text-align:left;margin-left:85.8pt;margin-top:5.2pt;width:31.7pt;height:31.65pt;z-index:251659264;mso-position-horizontal-relative:page" coordorigin="1716,104" coordsize="634,6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">
                <v:shape id="Freeform 168" o:spid="_x0000_s1027" style="position:absolute;left:1716;top:103;width:634;height:633;visibility:visible;mso-wrap-style:square;v-text-anchor:top" coordsize="634,6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" path="m317,l241,9,171,35,111,76,61,129,25,193,4,265,,317r1,26l16,417r31,66l93,541r57,45l217,617r74,15l317,633r26,-1l417,617r67,-31l541,541r45,-58l617,417r16,-74l634,317r-1,-26l617,216,586,150,541,93,484,47,417,16,343,1,317,xe" fillcolor="#00619a" stroked="f">
                  <v:path arrowok="t" o:connecttype="custom" o:connectlocs="317,104;241,113;171,139;111,180;61,233;25,297;4,369;0,421;1,447;16,521;47,587;93,645;150,690;217,721;291,736;317,737;343,736;417,721;484,690;541,645;586,587;617,521;633,447;634,421;633,395;617,320;586,254;541,197;484,151;417,120;343,105;317,104" o:connectangles="0,0,0,0,0,0,0,0,0,0,0,0,0,0,0,0,0,0,0,0,0,0,0,0,0,0,0,0,0,0,0,0"/>
                </v:shape>
                <v:shapetype id="_x0000_t202" coordsize="21600,21600" o:spt="202" path="m,l,21600r21600,l21600,xe">
                  <v:stroke joinstyle="miter"/>
                  <v:path gradientshapeok="t" o:connecttype="rect"/>
                </v:shapetype>
                <v:shape id="Text Box 169" o:spid="_x0000_s1028" type="#_x0000_t202" style="position:absolute;left:1716;top:103;width:634;height:6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" filled="f" stroked="f">
                  <v:path arrowok="t"/>
                  <v:textbox inset="0,0,0,0">
                    <w:txbxContent>
                      <w:p w14:paraId="1D38F791" w14:textId="77777777" w:rsidR="00086DE6" w:rsidRDefault="00086DE6" w:rsidP="00086DE6">
                        <w:pPr>
                          <w:spacing w:before="171"/>
                          <w:ind w:left="155"/>
                          <w:rPr>
                            <w:b/>
                            <w:sz w:val="26"/>
                          </w:rPr>
                        </w:pPr>
                        <w:r>
                          <w:rPr>
                            <w:b/>
                            <w:color w:val="FFFFFF"/>
                            <w:sz w:val="26"/>
                          </w:rPr>
                          <w:t>7.3</w:t>
                        </w:r>
                      </w:p>
                    </w:txbxContent>
                  </v:textbox>
                </v:shape>
                <w10:wrap anchorx="page"/>
              </v:group>
            </w:pict>
          </mc:Fallback>
        </mc:AlternateContent>
      </w:r>
      <w:r w:rsidRPr="00D41C61">
        <w:rPr>
          <w:rFonts w:cs="Times New Roman (Headings CS)"/>
          <w:color w:val="221F1F"/>
        </w:rPr>
        <w:t>The</w:t>
      </w:r>
      <w:r w:rsidRPr="00D41C61">
        <w:rPr>
          <w:rFonts w:cs="Times New Roman (Headings CS)"/>
          <w:color w:val="221F1F"/>
          <w:spacing w:val="-14"/>
        </w:rPr>
        <w:t xml:space="preserve"> </w:t>
      </w:r>
      <w:r w:rsidRPr="00D41C61">
        <w:rPr>
          <w:rFonts w:cs="Times New Roman (Headings CS)"/>
          <w:color w:val="221F1F"/>
        </w:rPr>
        <w:t>institution</w:t>
      </w:r>
      <w:r w:rsidRPr="00D41C61">
        <w:rPr>
          <w:rFonts w:cs="Times New Roman (Headings CS)"/>
          <w:color w:val="221F1F"/>
          <w:spacing w:val="-11"/>
        </w:rPr>
        <w:t xml:space="preserve"> </w:t>
      </w:r>
      <w:r w:rsidRPr="00D41C61">
        <w:rPr>
          <w:rFonts w:cs="Times New Roman (Headings CS)"/>
          <w:color w:val="221F1F"/>
        </w:rPr>
        <w:t>identifies</w:t>
      </w:r>
      <w:r w:rsidRPr="00D41C61">
        <w:rPr>
          <w:rFonts w:cs="Times New Roman (Headings CS)"/>
          <w:color w:val="221F1F"/>
          <w:spacing w:val="-13"/>
        </w:rPr>
        <w:t xml:space="preserve"> </w:t>
      </w:r>
      <w:r w:rsidRPr="00D41C61">
        <w:rPr>
          <w:rFonts w:cs="Times New Roman (Headings CS)"/>
          <w:color w:val="221F1F"/>
        </w:rPr>
        <w:t>expected</w:t>
      </w:r>
      <w:r w:rsidRPr="00D41C61">
        <w:rPr>
          <w:rFonts w:cs="Times New Roman (Headings CS)"/>
          <w:color w:val="221F1F"/>
          <w:spacing w:val="-11"/>
        </w:rPr>
        <w:t xml:space="preserve"> </w:t>
      </w:r>
      <w:r w:rsidRPr="00D41C61">
        <w:rPr>
          <w:rFonts w:cs="Times New Roman (Headings CS)"/>
          <w:color w:val="221F1F"/>
        </w:rPr>
        <w:t>outcomes</w:t>
      </w:r>
      <w:r w:rsidRPr="00D41C61">
        <w:rPr>
          <w:rFonts w:cs="Times New Roman (Headings CS)"/>
          <w:color w:val="221F1F"/>
          <w:spacing w:val="-13"/>
        </w:rPr>
        <w:t xml:space="preserve"> </w:t>
      </w:r>
      <w:r w:rsidRPr="00D41C61">
        <w:rPr>
          <w:rFonts w:cs="Times New Roman (Headings CS)"/>
          <w:color w:val="221F1F"/>
        </w:rPr>
        <w:t>of</w:t>
      </w:r>
      <w:r w:rsidRPr="00D41C61">
        <w:rPr>
          <w:rFonts w:cs="Times New Roman (Headings CS)"/>
          <w:color w:val="221F1F"/>
          <w:spacing w:val="-8"/>
        </w:rPr>
        <w:t xml:space="preserve"> </w:t>
      </w:r>
      <w:r w:rsidRPr="00D41C61">
        <w:rPr>
          <w:rFonts w:cs="Times New Roman (Headings CS)"/>
          <w:color w:val="221F1F"/>
        </w:rPr>
        <w:t>its</w:t>
      </w:r>
      <w:r w:rsidRPr="00D41C61">
        <w:rPr>
          <w:rFonts w:cs="Times New Roman (Headings CS)"/>
          <w:color w:val="221F1F"/>
          <w:spacing w:val="-11"/>
        </w:rPr>
        <w:t xml:space="preserve"> </w:t>
      </w:r>
      <w:r w:rsidRPr="00D41C61">
        <w:rPr>
          <w:rFonts w:cs="Times New Roman (Headings CS)"/>
          <w:color w:val="221F1F"/>
        </w:rPr>
        <w:t>administrative</w:t>
      </w:r>
      <w:r w:rsidRPr="00D41C61">
        <w:rPr>
          <w:rFonts w:cs="Times New Roman (Headings CS)"/>
          <w:color w:val="221F1F"/>
          <w:spacing w:val="-13"/>
        </w:rPr>
        <w:t xml:space="preserve"> </w:t>
      </w:r>
      <w:r w:rsidRPr="00D41C61">
        <w:rPr>
          <w:rFonts w:cs="Times New Roman (Headings CS)"/>
          <w:color w:val="221F1F"/>
        </w:rPr>
        <w:t>support services</w:t>
      </w:r>
      <w:r w:rsidRPr="00D41C61">
        <w:rPr>
          <w:rFonts w:cs="Times New Roman (Headings CS)"/>
          <w:color w:val="221F1F"/>
          <w:spacing w:val="-12"/>
        </w:rPr>
        <w:t xml:space="preserve"> </w:t>
      </w:r>
      <w:r w:rsidRPr="00D41C61">
        <w:rPr>
          <w:rFonts w:cs="Times New Roman (Headings CS)"/>
          <w:color w:val="221F1F"/>
        </w:rPr>
        <w:t>and</w:t>
      </w:r>
      <w:r w:rsidRPr="00D41C61">
        <w:rPr>
          <w:rFonts w:cs="Times New Roman (Headings CS)"/>
          <w:color w:val="221F1F"/>
          <w:spacing w:val="-10"/>
        </w:rPr>
        <w:t xml:space="preserve"> </w:t>
      </w:r>
      <w:r w:rsidRPr="00D41C61">
        <w:rPr>
          <w:rFonts w:cs="Times New Roman (Headings CS)"/>
          <w:color w:val="221F1F"/>
        </w:rPr>
        <w:t>demonstrates</w:t>
      </w:r>
      <w:r w:rsidRPr="00D41C61">
        <w:rPr>
          <w:rFonts w:cs="Times New Roman (Headings CS)"/>
          <w:color w:val="221F1F"/>
          <w:spacing w:val="-12"/>
        </w:rPr>
        <w:t xml:space="preserve"> </w:t>
      </w:r>
      <w:r w:rsidRPr="00D41C61">
        <w:rPr>
          <w:rFonts w:cs="Times New Roman (Headings CS)"/>
          <w:color w:val="221F1F"/>
        </w:rPr>
        <w:t>the</w:t>
      </w:r>
      <w:r w:rsidRPr="00D41C61">
        <w:rPr>
          <w:rFonts w:cs="Times New Roman (Headings CS)"/>
          <w:color w:val="221F1F"/>
          <w:spacing w:val="-12"/>
        </w:rPr>
        <w:t xml:space="preserve"> </w:t>
      </w:r>
      <w:r w:rsidRPr="00D41C61">
        <w:rPr>
          <w:rFonts w:cs="Times New Roman (Headings CS)"/>
          <w:color w:val="221F1F"/>
        </w:rPr>
        <w:t>extent</w:t>
      </w:r>
      <w:r w:rsidRPr="00D41C61">
        <w:rPr>
          <w:rFonts w:cs="Times New Roman (Headings CS)"/>
          <w:color w:val="221F1F"/>
          <w:spacing w:val="-14"/>
        </w:rPr>
        <w:t xml:space="preserve"> </w:t>
      </w:r>
      <w:r w:rsidRPr="00D41C61">
        <w:rPr>
          <w:rFonts w:cs="Times New Roman (Headings CS)"/>
          <w:color w:val="221F1F"/>
        </w:rPr>
        <w:t>to</w:t>
      </w:r>
      <w:r w:rsidRPr="00D41C61">
        <w:rPr>
          <w:rFonts w:cs="Times New Roman (Headings CS)"/>
          <w:color w:val="221F1F"/>
          <w:spacing w:val="-12"/>
        </w:rPr>
        <w:t xml:space="preserve"> </w:t>
      </w:r>
      <w:r w:rsidRPr="00D41C61">
        <w:rPr>
          <w:rFonts w:cs="Times New Roman (Headings CS)"/>
          <w:color w:val="221F1F"/>
        </w:rPr>
        <w:t>which</w:t>
      </w:r>
      <w:r w:rsidRPr="00D41C61">
        <w:rPr>
          <w:rFonts w:cs="Times New Roman (Headings CS)"/>
          <w:color w:val="221F1F"/>
          <w:spacing w:val="-11"/>
        </w:rPr>
        <w:t xml:space="preserve"> </w:t>
      </w:r>
      <w:r w:rsidRPr="00D41C61">
        <w:rPr>
          <w:rFonts w:cs="Times New Roman (Headings CS)"/>
          <w:color w:val="221F1F"/>
        </w:rPr>
        <w:t>the</w:t>
      </w:r>
      <w:r w:rsidRPr="00D41C61">
        <w:rPr>
          <w:rFonts w:cs="Times New Roman (Headings CS)"/>
          <w:color w:val="221F1F"/>
          <w:spacing w:val="-13"/>
        </w:rPr>
        <w:t xml:space="preserve"> </w:t>
      </w:r>
      <w:r w:rsidRPr="00D41C61">
        <w:rPr>
          <w:rFonts w:cs="Times New Roman (Headings CS)"/>
          <w:color w:val="221F1F"/>
        </w:rPr>
        <w:t>outcomes</w:t>
      </w:r>
      <w:r w:rsidRPr="00D41C61">
        <w:rPr>
          <w:rFonts w:cs="Times New Roman (Headings CS)"/>
          <w:color w:val="221F1F"/>
          <w:spacing w:val="-14"/>
        </w:rPr>
        <w:t xml:space="preserve"> </w:t>
      </w:r>
      <w:r w:rsidRPr="00D41C61">
        <w:rPr>
          <w:rFonts w:cs="Times New Roman (Headings CS)"/>
          <w:color w:val="221F1F"/>
        </w:rPr>
        <w:t>are</w:t>
      </w:r>
      <w:r w:rsidRPr="00D41C61">
        <w:rPr>
          <w:rFonts w:cs="Times New Roman (Headings CS)"/>
          <w:color w:val="221F1F"/>
          <w:spacing w:val="-14"/>
        </w:rPr>
        <w:t xml:space="preserve"> </w:t>
      </w:r>
      <w:r w:rsidRPr="00D41C61">
        <w:rPr>
          <w:rFonts w:cs="Times New Roman (Headings CS)"/>
          <w:color w:val="221F1F"/>
        </w:rPr>
        <w:t>achieved. (Administrative</w:t>
      </w:r>
      <w:r w:rsidRPr="00D41C61">
        <w:rPr>
          <w:rFonts w:cs="Times New Roman (Headings CS)"/>
          <w:color w:val="221F1F"/>
          <w:spacing w:val="-38"/>
        </w:rPr>
        <w:t xml:space="preserve"> </w:t>
      </w:r>
      <w:r w:rsidR="00D41C61" w:rsidRPr="00D41C61">
        <w:rPr>
          <w:rFonts w:cs="Times New Roman (Headings CS)"/>
          <w:color w:val="221F1F"/>
          <w:spacing w:val="-38"/>
        </w:rPr>
        <w:t xml:space="preserve"> </w:t>
      </w:r>
      <w:r w:rsidRPr="00D41C61">
        <w:rPr>
          <w:rFonts w:cs="Times New Roman (Headings CS)"/>
          <w:color w:val="221F1F"/>
        </w:rPr>
        <w:t>effectiveness)</w:t>
      </w:r>
    </w:p>
    <w:p w14:paraId="4E1C263E" w14:textId="77777777" w:rsidR="00086DE6" w:rsidRDefault="00086DE6" w:rsidP="00086DE6">
      <w:pPr>
        <w:pStyle w:val="BodyText"/>
        <w:spacing w:before="8"/>
        <w:rPr>
          <w:i/>
          <w:sz w:val="33"/>
        </w:rPr>
      </w:pPr>
    </w:p>
    <w:p w14:paraId="28F3FA28" w14:textId="77777777" w:rsidR="00086DE6" w:rsidRDefault="00086DE6" w:rsidP="00086DE6">
      <w:pPr>
        <w:ind w:left="360"/>
        <w:rPr>
          <w:rFonts w:ascii="Arial"/>
          <w:b/>
          <w:sz w:val="26"/>
        </w:rPr>
      </w:pPr>
      <w:r>
        <w:rPr>
          <w:rFonts w:ascii="Arial"/>
          <w:b/>
          <w:color w:val="00619A"/>
          <w:w w:val="85"/>
          <w:sz w:val="26"/>
        </w:rPr>
        <w:t>Rationale</w:t>
      </w:r>
      <w:r>
        <w:rPr>
          <w:rFonts w:ascii="Arial"/>
          <w:b/>
          <w:color w:val="00619A"/>
          <w:spacing w:val="-36"/>
          <w:w w:val="85"/>
          <w:sz w:val="26"/>
        </w:rPr>
        <w:t xml:space="preserve"> </w:t>
      </w:r>
      <w:r>
        <w:rPr>
          <w:rFonts w:ascii="Arial"/>
          <w:b/>
          <w:color w:val="00619A"/>
          <w:w w:val="85"/>
          <w:sz w:val="26"/>
        </w:rPr>
        <w:t>and</w:t>
      </w:r>
      <w:r>
        <w:rPr>
          <w:rFonts w:ascii="Arial"/>
          <w:b/>
          <w:color w:val="00619A"/>
          <w:spacing w:val="-34"/>
          <w:w w:val="85"/>
          <w:sz w:val="26"/>
        </w:rPr>
        <w:t xml:space="preserve"> </w:t>
      </w:r>
      <w:r>
        <w:rPr>
          <w:rFonts w:ascii="Arial"/>
          <w:b/>
          <w:color w:val="00619A"/>
          <w:w w:val="85"/>
          <w:sz w:val="26"/>
        </w:rPr>
        <w:t>Notes</w:t>
      </w:r>
    </w:p>
    <w:p w14:paraId="32D09E02" w14:textId="77777777" w:rsidR="00086DE6" w:rsidRDefault="00086DE6" w:rsidP="00086DE6">
      <w:pPr>
        <w:pStyle w:val="BodyText"/>
        <w:spacing w:before="109" w:line="276" w:lineRule="auto"/>
        <w:ind w:left="359" w:right="1111"/>
      </w:pPr>
      <w:r>
        <w:t xml:space="preserve">It is critical that administrative support services are provided effectively </w:t>
      </w:r>
      <w:proofErr w:type="gramStart"/>
      <w:r>
        <w:t>in order for</w:t>
      </w:r>
      <w:proofErr w:type="gramEnd"/>
      <w:r>
        <w:t xml:space="preserve"> the institution to obtain its strategic goals as well as operational efficiency. Administrative support service units normally include offices and departments such as finance and procurement, facilities and physical plant, administrative services, development/advancement, research office, the president’s office, etc. These offices serve the educational mission of the institution in a much more indirect way than do offices related to educational programs or academic and student services, but they are just as critical for the ability of the institution to achieve its mission. The efficient operation of these units is critical whether these functions are provided internally or outsourced to a</w:t>
      </w:r>
      <w:r>
        <w:rPr>
          <w:spacing w:val="-20"/>
        </w:rPr>
        <w:t xml:space="preserve"> </w:t>
      </w:r>
      <w:r>
        <w:t>contractor.</w:t>
      </w:r>
    </w:p>
    <w:p w14:paraId="084A8587" w14:textId="77777777" w:rsidR="00086DE6" w:rsidRDefault="00086DE6" w:rsidP="00086DE6">
      <w:pPr>
        <w:pStyle w:val="BodyText"/>
        <w:spacing w:before="94" w:line="276" w:lineRule="auto"/>
        <w:ind w:left="359" w:right="1068" w:firstLine="359"/>
      </w:pPr>
      <w:r>
        <w:t>While these units rarely have “expected learning outcomes,” “expected outcomes” for administrative units typically include outcomes such as efficiency and quality of service targets (e.g., energy usage, response times, error rates, “clean report” targets, satisfaction rates); monetary targets (e.g., fund-raising targets, research grant targets, auxiliary income targets). Many times, the goals are explicit parts of the budgeting process or components of the strategic plan. For this standard, institutions should interpret “expected outcome” in a manner consistent with that administrative unit’s role in the institution. It is the institution’s responsibility to explain how and why these expected outcomes are</w:t>
      </w:r>
      <w:r>
        <w:rPr>
          <w:spacing w:val="-1"/>
        </w:rPr>
        <w:t xml:space="preserve"> </w:t>
      </w:r>
      <w:r>
        <w:t>determined.</w:t>
      </w:r>
    </w:p>
    <w:p w14:paraId="2DF13481" w14:textId="77777777" w:rsidR="00086DE6" w:rsidRDefault="00086DE6" w:rsidP="00086DE6">
      <w:pPr>
        <w:pStyle w:val="BodyText"/>
        <w:spacing w:before="91" w:line="276" w:lineRule="auto"/>
        <w:ind w:left="359" w:right="1148" w:firstLine="360"/>
      </w:pPr>
      <w:r>
        <w:t xml:space="preserve">In many cases, administrative outcomes are hard to separate from student support outcomes. Examples would include public safety, which has an administrative function but also generally has a co-curricular student support function, and financial aid, which likewise has a budgetary function as well as a co-curricular educational function. Generally, these “dual function” units would be addressed in Standard 8.2.c </w:t>
      </w:r>
      <w:r>
        <w:rPr>
          <w:i/>
        </w:rPr>
        <w:t>(Student outcomes: academic and student services)</w:t>
      </w:r>
      <w:r>
        <w:t>. If those units are instead addressed in this standard, it is incumbent on the institution to explain how this determination follows from its mission and organizational structure; it is strongly suggested that this explanation appear in both standards of the Compliance Certification. While institutions may organize functions differently, it is expected that all administrative services engage in a process to evaluate their effectiveness.</w:t>
      </w:r>
    </w:p>
    <w:p w14:paraId="78088AE9" w14:textId="77777777" w:rsidR="0063398E" w:rsidRDefault="00086DE6" w:rsidP="00086DE6">
      <w:pPr>
        <w:pStyle w:val="BodyText"/>
        <w:spacing w:before="93" w:line="276" w:lineRule="auto"/>
        <w:ind w:left="359" w:right="1068" w:firstLine="359"/>
      </w:pPr>
      <w:r>
        <w:t xml:space="preserve">Institutions should determine the organizational levels at which assessment is useful and efficient for administrative units. This tends to vary greatly across institutions due to </w:t>
      </w:r>
      <w:r>
        <w:lastRenderedPageBreak/>
        <w:t xml:space="preserve">size and complexity of the institution, and explicit decisions regarding organizational structure. Institutions are not required or expected to use the same assessment procedures for their administrative structure as those used for units that have specific student learning expectations. Reviewers should be mindful that administrative effectiveness can be achieved in a variety of ways and the mentality that “one size fits all” is inappropriate and diminishes the individual missions of institutions. This is especially true regarding the use of language to describe processes; for example, “assessment,” “evaluation,” “goals,” “outcomes,” and “objectives” may have precise meaning to a reviewer; but, </w:t>
      </w:r>
    </w:p>
    <w:p w14:paraId="19781600" w14:textId="36ABCDF2" w:rsidR="00086DE6" w:rsidRDefault="00086DE6" w:rsidP="0063398E">
      <w:pPr>
        <w:pStyle w:val="BodyText"/>
        <w:spacing w:before="93" w:line="276" w:lineRule="auto"/>
        <w:ind w:left="359" w:right="1068"/>
      </w:pPr>
      <w:r>
        <w:t>the institution may have a meaningful effectiveness system even if it is not as precise with its language as the reviewer would</w:t>
      </w:r>
      <w:r>
        <w:rPr>
          <w:spacing w:val="-5"/>
        </w:rPr>
        <w:t xml:space="preserve"> </w:t>
      </w:r>
      <w:r>
        <w:t>like.</w:t>
      </w:r>
    </w:p>
    <w:p w14:paraId="61D07303" w14:textId="77777777" w:rsidR="0063398E" w:rsidRDefault="0063398E" w:rsidP="00086DE6">
      <w:pPr>
        <w:pStyle w:val="BodyText"/>
        <w:rPr>
          <w:i/>
          <w:sz w:val="31"/>
        </w:rPr>
      </w:pPr>
    </w:p>
    <w:p w14:paraId="7B2CF586" w14:textId="77777777" w:rsidR="00086DE6" w:rsidRDefault="00086DE6" w:rsidP="00086DE6">
      <w:pPr>
        <w:pStyle w:val="Heading3"/>
        <w:spacing w:before="1"/>
        <w:rPr>
          <w:rFonts w:ascii="Arial"/>
        </w:rPr>
      </w:pPr>
      <w:r>
        <w:rPr>
          <w:rFonts w:ascii="Arial"/>
          <w:color w:val="00619A"/>
          <w:w w:val="80"/>
        </w:rPr>
        <w:t>Questions to</w:t>
      </w:r>
      <w:r>
        <w:rPr>
          <w:rFonts w:ascii="Arial"/>
          <w:color w:val="00619A"/>
          <w:spacing w:val="1"/>
          <w:w w:val="80"/>
        </w:rPr>
        <w:t xml:space="preserve"> </w:t>
      </w:r>
      <w:r>
        <w:rPr>
          <w:rFonts w:ascii="Arial"/>
          <w:color w:val="00619A"/>
          <w:w w:val="80"/>
        </w:rPr>
        <w:t>Consider</w:t>
      </w:r>
    </w:p>
    <w:p w14:paraId="06D422A0" w14:textId="77777777" w:rsidR="00086DE6" w:rsidRDefault="00086DE6" w:rsidP="00086DE6">
      <w:pPr>
        <w:pStyle w:val="BodyText"/>
        <w:tabs>
          <w:tab w:val="left" w:pos="720"/>
        </w:tabs>
        <w:spacing w:before="122" w:line="278" w:lineRule="auto"/>
        <w:ind w:left="720" w:right="1872" w:hanging="361"/>
      </w:pPr>
      <w:r>
        <w:rPr>
          <w:rFonts w:ascii="Arial" w:hAnsi="Arial"/>
        </w:rPr>
        <w:t></w:t>
      </w:r>
      <w:r>
        <w:rPr>
          <w:rFonts w:ascii="Arial" w:hAnsi="Arial"/>
        </w:rPr>
        <w:tab/>
      </w:r>
      <w:r>
        <w:t>Are expected outcomes defined in ways that allow meaningful measurement of actual outcomes?</w:t>
      </w:r>
    </w:p>
    <w:p w14:paraId="1340FADE" w14:textId="77777777" w:rsidR="00086DE6" w:rsidRDefault="00086DE6" w:rsidP="00086DE6">
      <w:pPr>
        <w:pStyle w:val="BodyText"/>
        <w:tabs>
          <w:tab w:val="left" w:pos="720"/>
        </w:tabs>
        <w:spacing w:before="103"/>
        <w:ind w:left="360"/>
      </w:pPr>
      <w:r>
        <w:rPr>
          <w:rFonts w:ascii="Arial" w:hAnsi="Arial"/>
        </w:rPr>
        <w:t></w:t>
      </w:r>
      <w:r>
        <w:rPr>
          <w:rFonts w:ascii="Arial" w:hAnsi="Arial"/>
        </w:rPr>
        <w:tab/>
      </w:r>
      <w:r>
        <w:t>Is there evidence of goal-setting and assessment activities for each</w:t>
      </w:r>
      <w:r>
        <w:rPr>
          <w:spacing w:val="-20"/>
        </w:rPr>
        <w:t xml:space="preserve"> </w:t>
      </w:r>
      <w:r>
        <w:t>unit?</w:t>
      </w:r>
    </w:p>
    <w:p w14:paraId="3EE4C69A" w14:textId="77777777" w:rsidR="00086DE6" w:rsidRDefault="00086DE6" w:rsidP="00086DE6">
      <w:pPr>
        <w:pStyle w:val="BodyText"/>
        <w:tabs>
          <w:tab w:val="left" w:pos="720"/>
        </w:tabs>
        <w:spacing w:before="145"/>
        <w:ind w:left="360"/>
      </w:pPr>
      <w:r>
        <w:rPr>
          <w:rFonts w:ascii="Arial" w:hAnsi="Arial"/>
        </w:rPr>
        <w:t></w:t>
      </w:r>
      <w:r>
        <w:rPr>
          <w:rFonts w:ascii="Arial" w:hAnsi="Arial"/>
        </w:rPr>
        <w:tab/>
      </w:r>
      <w:r>
        <w:t>Can you meaningfully determine whether expectations were</w:t>
      </w:r>
      <w:r>
        <w:rPr>
          <w:spacing w:val="-16"/>
        </w:rPr>
        <w:t xml:space="preserve"> </w:t>
      </w:r>
      <w:r>
        <w:t>met?</w:t>
      </w:r>
    </w:p>
    <w:p w14:paraId="69A3E55F" w14:textId="77777777" w:rsidR="00086DE6" w:rsidRDefault="00086DE6" w:rsidP="00086DE6">
      <w:pPr>
        <w:pStyle w:val="BodyText"/>
        <w:tabs>
          <w:tab w:val="left" w:pos="720"/>
        </w:tabs>
        <w:spacing w:before="147" w:line="278" w:lineRule="auto"/>
        <w:ind w:left="720" w:right="1673" w:hanging="361"/>
      </w:pPr>
      <w:r>
        <w:rPr>
          <w:rFonts w:ascii="Arial" w:hAnsi="Arial"/>
        </w:rPr>
        <w:t></w:t>
      </w:r>
      <w:r>
        <w:rPr>
          <w:rFonts w:ascii="Arial" w:hAnsi="Arial"/>
        </w:rPr>
        <w:tab/>
      </w:r>
      <w:r>
        <w:t>How does administrative assessment relate to the goals found within the comprehensive planning and assessment processes of the</w:t>
      </w:r>
      <w:r>
        <w:rPr>
          <w:spacing w:val="-2"/>
        </w:rPr>
        <w:t xml:space="preserve"> </w:t>
      </w:r>
      <w:r>
        <w:t>institution?</w:t>
      </w:r>
    </w:p>
    <w:p w14:paraId="4FA36F23" w14:textId="77777777" w:rsidR="00086DE6" w:rsidRDefault="00086DE6" w:rsidP="00086DE6">
      <w:pPr>
        <w:pStyle w:val="BodyText"/>
        <w:tabs>
          <w:tab w:val="left" w:pos="720"/>
        </w:tabs>
        <w:spacing w:before="103"/>
        <w:ind w:left="360"/>
      </w:pPr>
      <w:r>
        <w:rPr>
          <w:rFonts w:ascii="Arial" w:hAnsi="Arial"/>
        </w:rPr>
        <w:t></w:t>
      </w:r>
      <w:r>
        <w:rPr>
          <w:rFonts w:ascii="Arial" w:hAnsi="Arial"/>
        </w:rPr>
        <w:tab/>
      </w:r>
      <w:r>
        <w:t>Does your organizational structure hinder or advance administrative</w:t>
      </w:r>
      <w:r>
        <w:rPr>
          <w:spacing w:val="-22"/>
        </w:rPr>
        <w:t xml:space="preserve"> </w:t>
      </w:r>
      <w:r>
        <w:t>effectiveness?</w:t>
      </w:r>
    </w:p>
    <w:p w14:paraId="4BEB74B2" w14:textId="77777777" w:rsidR="00086DE6" w:rsidRDefault="00086DE6" w:rsidP="00086DE6">
      <w:pPr>
        <w:pStyle w:val="BodyText"/>
        <w:tabs>
          <w:tab w:val="left" w:pos="720"/>
        </w:tabs>
        <w:spacing w:before="144" w:line="278" w:lineRule="auto"/>
        <w:ind w:left="720" w:right="1276" w:hanging="361"/>
      </w:pPr>
      <w:r>
        <w:rPr>
          <w:rFonts w:ascii="Arial" w:hAnsi="Arial"/>
        </w:rPr>
        <w:t></w:t>
      </w:r>
      <w:r>
        <w:rPr>
          <w:rFonts w:ascii="Arial" w:hAnsi="Arial"/>
        </w:rPr>
        <w:tab/>
      </w:r>
      <w:r>
        <w:t>For units with combined administrative and student support functions, how do you deal with both</w:t>
      </w:r>
      <w:r>
        <w:rPr>
          <w:spacing w:val="-1"/>
        </w:rPr>
        <w:t xml:space="preserve"> </w:t>
      </w:r>
      <w:r>
        <w:t>elements?</w:t>
      </w:r>
    </w:p>
    <w:p w14:paraId="22E8A87B" w14:textId="77777777" w:rsidR="00086DE6" w:rsidRDefault="00086DE6" w:rsidP="00086DE6">
      <w:pPr>
        <w:pStyle w:val="BodyText"/>
        <w:tabs>
          <w:tab w:val="left" w:pos="720"/>
        </w:tabs>
        <w:spacing w:before="103" w:line="278" w:lineRule="auto"/>
        <w:ind w:left="721" w:right="1265" w:hanging="361"/>
      </w:pPr>
      <w:r>
        <w:rPr>
          <w:rFonts w:ascii="Arial" w:hAnsi="Arial"/>
        </w:rPr>
        <w:t></w:t>
      </w:r>
      <w:r>
        <w:rPr>
          <w:rFonts w:ascii="Arial" w:hAnsi="Arial"/>
        </w:rPr>
        <w:tab/>
      </w:r>
      <w:r>
        <w:t>Are your expected outcomes of administrative units consistent with the data underlying your institutional budget?</w:t>
      </w:r>
    </w:p>
    <w:p w14:paraId="52944C07" w14:textId="77777777" w:rsidR="00086DE6" w:rsidRDefault="00086DE6" w:rsidP="00086DE6">
      <w:pPr>
        <w:pStyle w:val="BodyText"/>
        <w:tabs>
          <w:tab w:val="left" w:pos="721"/>
        </w:tabs>
        <w:spacing w:before="104" w:line="276" w:lineRule="auto"/>
        <w:ind w:left="721" w:right="2053" w:hanging="361"/>
      </w:pPr>
      <w:r>
        <w:rPr>
          <w:rFonts w:ascii="Arial" w:hAnsi="Arial"/>
        </w:rPr>
        <w:t></w:t>
      </w:r>
      <w:r>
        <w:rPr>
          <w:rFonts w:ascii="Arial" w:hAnsi="Arial"/>
        </w:rPr>
        <w:tab/>
      </w:r>
      <w:r>
        <w:t>If the institution used sampling, why were the sampling and findings an appropriate representation of the institution’s administrative</w:t>
      </w:r>
      <w:r>
        <w:rPr>
          <w:spacing w:val="-5"/>
        </w:rPr>
        <w:t xml:space="preserve"> </w:t>
      </w:r>
      <w:r>
        <w:t>units?</w:t>
      </w:r>
    </w:p>
    <w:p w14:paraId="1E357E1D" w14:textId="77777777" w:rsidR="00086DE6" w:rsidRDefault="00086DE6" w:rsidP="00086DE6">
      <w:pPr>
        <w:pStyle w:val="BodyText"/>
        <w:spacing w:before="5"/>
        <w:rPr>
          <w:sz w:val="32"/>
        </w:rPr>
      </w:pPr>
    </w:p>
    <w:p w14:paraId="0533E2A6" w14:textId="77777777" w:rsidR="00086DE6" w:rsidRDefault="00086DE6" w:rsidP="00086DE6">
      <w:pPr>
        <w:pStyle w:val="Heading3"/>
        <w:spacing w:before="1"/>
        <w:rPr>
          <w:rFonts w:ascii="Arial"/>
        </w:rPr>
      </w:pPr>
      <w:r>
        <w:rPr>
          <w:rFonts w:ascii="Arial"/>
          <w:color w:val="00619A"/>
          <w:spacing w:val="-1"/>
          <w:w w:val="80"/>
        </w:rPr>
        <w:t xml:space="preserve">Sample </w:t>
      </w:r>
      <w:r>
        <w:rPr>
          <w:rFonts w:ascii="Arial"/>
          <w:color w:val="00619A"/>
          <w:spacing w:val="51"/>
          <w:w w:val="80"/>
        </w:rPr>
        <w:t xml:space="preserve"> </w:t>
      </w:r>
      <w:r>
        <w:rPr>
          <w:rFonts w:ascii="Arial"/>
          <w:color w:val="00619A"/>
          <w:w w:val="80"/>
        </w:rPr>
        <w:t>Documentation</w:t>
      </w:r>
    </w:p>
    <w:p w14:paraId="328AB20D" w14:textId="77777777" w:rsidR="00086DE6" w:rsidRDefault="00086DE6" w:rsidP="00086DE6">
      <w:pPr>
        <w:pStyle w:val="BodyText"/>
        <w:tabs>
          <w:tab w:val="left" w:pos="720"/>
        </w:tabs>
        <w:spacing w:before="124" w:line="276" w:lineRule="auto"/>
        <w:ind w:left="720" w:right="1678" w:hanging="361"/>
      </w:pPr>
      <w:r>
        <w:rPr>
          <w:rFonts w:ascii="Arial" w:hAnsi="Arial"/>
        </w:rPr>
        <w:t></w:t>
      </w:r>
      <w:r>
        <w:rPr>
          <w:rFonts w:ascii="Arial" w:hAnsi="Arial"/>
        </w:rPr>
        <w:tab/>
      </w:r>
      <w:r>
        <w:t>Organizational charts and an explanation of how the institution’s administrative support service units undertake effectiveness</w:t>
      </w:r>
      <w:r>
        <w:rPr>
          <w:spacing w:val="-5"/>
        </w:rPr>
        <w:t xml:space="preserve"> </w:t>
      </w:r>
      <w:r>
        <w:t>reviews.</w:t>
      </w:r>
    </w:p>
    <w:p w14:paraId="0DDD7BF6" w14:textId="77777777" w:rsidR="00086DE6" w:rsidRDefault="00086DE6" w:rsidP="00086DE6">
      <w:pPr>
        <w:pStyle w:val="BodyText"/>
        <w:tabs>
          <w:tab w:val="left" w:pos="720"/>
        </w:tabs>
        <w:spacing w:before="106"/>
        <w:ind w:left="360"/>
      </w:pPr>
      <w:r>
        <w:rPr>
          <w:rFonts w:ascii="Arial" w:hAnsi="Arial"/>
        </w:rPr>
        <w:t></w:t>
      </w:r>
      <w:r>
        <w:rPr>
          <w:rFonts w:ascii="Arial" w:hAnsi="Arial"/>
        </w:rPr>
        <w:tab/>
      </w:r>
      <w:r>
        <w:t>Expected outcomes for administrative support</w:t>
      </w:r>
      <w:r>
        <w:rPr>
          <w:spacing w:val="-15"/>
        </w:rPr>
        <w:t xml:space="preserve"> </w:t>
      </w:r>
      <w:r>
        <w:t>services.</w:t>
      </w:r>
    </w:p>
    <w:p w14:paraId="04E93AAD" w14:textId="77777777" w:rsidR="00086DE6" w:rsidRDefault="00086DE6" w:rsidP="00086DE6">
      <w:pPr>
        <w:pStyle w:val="BodyText"/>
        <w:tabs>
          <w:tab w:val="left" w:pos="720"/>
        </w:tabs>
        <w:spacing w:before="147"/>
        <w:ind w:left="360"/>
      </w:pPr>
      <w:r>
        <w:rPr>
          <w:rFonts w:ascii="Arial" w:hAnsi="Arial"/>
        </w:rPr>
        <w:t></w:t>
      </w:r>
      <w:r>
        <w:rPr>
          <w:rFonts w:ascii="Arial" w:hAnsi="Arial"/>
        </w:rPr>
        <w:tab/>
      </w:r>
      <w:r>
        <w:t>Findings from the evaluation of those</w:t>
      </w:r>
      <w:r>
        <w:rPr>
          <w:spacing w:val="-9"/>
        </w:rPr>
        <w:t xml:space="preserve"> </w:t>
      </w:r>
      <w:r>
        <w:t>outcomes.</w:t>
      </w:r>
    </w:p>
    <w:p w14:paraId="027CBC11" w14:textId="4D2A0CED" w:rsidR="00086DE6" w:rsidRDefault="00086DE6" w:rsidP="00086DE6">
      <w:pPr>
        <w:pStyle w:val="BodyText"/>
        <w:tabs>
          <w:tab w:val="left" w:pos="720"/>
        </w:tabs>
        <w:spacing w:before="147"/>
        <w:ind w:left="360"/>
      </w:pPr>
      <w:r>
        <w:rPr>
          <w:rFonts w:ascii="Arial" w:hAnsi="Arial"/>
        </w:rPr>
        <w:t></w:t>
      </w:r>
      <w:r>
        <w:rPr>
          <w:rFonts w:ascii="Arial" w:hAnsi="Arial"/>
        </w:rPr>
        <w:tab/>
      </w:r>
      <w:r w:rsidR="0063398E">
        <w:t>Generally,</w:t>
      </w:r>
      <w:r>
        <w:t xml:space="preserve"> unit-level reports are provided instead of overarching</w:t>
      </w:r>
      <w:r>
        <w:rPr>
          <w:spacing w:val="-23"/>
        </w:rPr>
        <w:t xml:space="preserve"> </w:t>
      </w:r>
      <w:r>
        <w:t>summaries.</w:t>
      </w:r>
    </w:p>
    <w:p w14:paraId="06479B04" w14:textId="77777777" w:rsidR="00086DE6" w:rsidRDefault="00086DE6" w:rsidP="00086DE6">
      <w:pPr>
        <w:pStyle w:val="BodyText"/>
        <w:tabs>
          <w:tab w:val="left" w:pos="720"/>
        </w:tabs>
        <w:spacing w:before="145"/>
        <w:ind w:left="360"/>
      </w:pPr>
      <w:r>
        <w:rPr>
          <w:rFonts w:ascii="Arial" w:hAnsi="Arial"/>
        </w:rPr>
        <w:t></w:t>
      </w:r>
      <w:r>
        <w:rPr>
          <w:rFonts w:ascii="Arial" w:hAnsi="Arial"/>
        </w:rPr>
        <w:tab/>
      </w:r>
      <w:r>
        <w:t>Explanation of how unit assessments relate to comprehensive planning and</w:t>
      </w:r>
      <w:r>
        <w:rPr>
          <w:spacing w:val="-21"/>
        </w:rPr>
        <w:t xml:space="preserve"> </w:t>
      </w:r>
      <w:r>
        <w:t>evaluation.</w:t>
      </w:r>
    </w:p>
    <w:p w14:paraId="59176094" w14:textId="77777777" w:rsidR="00086DE6" w:rsidRDefault="00086DE6" w:rsidP="00086DE6">
      <w:pPr>
        <w:pStyle w:val="BodyText"/>
        <w:tabs>
          <w:tab w:val="left" w:pos="720"/>
        </w:tabs>
        <w:spacing w:before="94"/>
        <w:ind w:left="360"/>
      </w:pPr>
      <w:r>
        <w:rPr>
          <w:rFonts w:ascii="Arial" w:hAnsi="Arial"/>
        </w:rPr>
        <w:t></w:t>
      </w:r>
      <w:r>
        <w:rPr>
          <w:rFonts w:ascii="Arial" w:hAnsi="Arial"/>
        </w:rPr>
        <w:tab/>
      </w:r>
      <w:r>
        <w:t>If sampling is used, (1) how the sampling is representative of the institution’s</w:t>
      </w:r>
      <w:r>
        <w:rPr>
          <w:spacing w:val="-28"/>
        </w:rPr>
        <w:t xml:space="preserve"> </w:t>
      </w:r>
      <w:r>
        <w:t>mission,</w:t>
      </w:r>
    </w:p>
    <w:p w14:paraId="00A68F78" w14:textId="3B7C2156" w:rsidR="00086DE6" w:rsidRPr="0063398E" w:rsidRDefault="00086DE6" w:rsidP="0063398E">
      <w:pPr>
        <w:pStyle w:val="BodyText"/>
        <w:tabs>
          <w:tab w:val="left" w:pos="720"/>
        </w:tabs>
        <w:spacing w:before="147" w:line="276" w:lineRule="auto"/>
        <w:ind w:left="720" w:right="1307" w:hanging="361"/>
      </w:pPr>
      <w:r>
        <w:rPr>
          <w:rFonts w:ascii="Arial" w:hAnsi="Arial"/>
        </w:rPr>
        <w:t></w:t>
      </w:r>
      <w:r>
        <w:rPr>
          <w:rFonts w:ascii="Arial" w:hAnsi="Arial"/>
        </w:rPr>
        <w:tab/>
      </w:r>
      <w:r>
        <w:t>documentation of a valid cross-section of units, and (3) make a case as to why sampling and assessment findings are an appropriate representation of the institution’s</w:t>
      </w:r>
      <w:r>
        <w:rPr>
          <w:spacing w:val="-15"/>
        </w:rPr>
        <w:t xml:space="preserve"> </w:t>
      </w:r>
      <w:r>
        <w:t>units.</w:t>
      </w:r>
    </w:p>
    <w:sectPr w:rsidR="00086DE6" w:rsidRPr="0063398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5A378" w14:textId="77777777" w:rsidR="00CC42FD" w:rsidRDefault="00CC42FD">
      <w:r>
        <w:separator/>
      </w:r>
    </w:p>
  </w:endnote>
  <w:endnote w:type="continuationSeparator" w:id="0">
    <w:p w14:paraId="2C01E7CB" w14:textId="77777777" w:rsidR="00CC42FD" w:rsidRDefault="00CC4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Headings 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70E15" w14:textId="6377FD51" w:rsidR="00FD5293" w:rsidRDefault="00FD529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816BC" w14:textId="77777777" w:rsidR="00CC42FD" w:rsidRDefault="00CC42FD">
      <w:r>
        <w:separator/>
      </w:r>
    </w:p>
  </w:footnote>
  <w:footnote w:type="continuationSeparator" w:id="0">
    <w:p w14:paraId="0E90C774" w14:textId="77777777" w:rsidR="00CC42FD" w:rsidRDefault="00CC42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DE6"/>
    <w:rsid w:val="00086DE6"/>
    <w:rsid w:val="002A7757"/>
    <w:rsid w:val="002B2AD6"/>
    <w:rsid w:val="0063103A"/>
    <w:rsid w:val="0063398E"/>
    <w:rsid w:val="006A1916"/>
    <w:rsid w:val="006D25A8"/>
    <w:rsid w:val="009302A6"/>
    <w:rsid w:val="00AD040A"/>
    <w:rsid w:val="00AE50EB"/>
    <w:rsid w:val="00BB6B50"/>
    <w:rsid w:val="00CC42FD"/>
    <w:rsid w:val="00D41C61"/>
    <w:rsid w:val="00D430D5"/>
    <w:rsid w:val="00F20352"/>
    <w:rsid w:val="00FC2B66"/>
    <w:rsid w:val="00FD5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64B7F"/>
  <w15:chartTrackingRefBased/>
  <w15:docId w15:val="{D9EBECF3-DFFE-5E4B-BF12-46ECAD02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DE6"/>
    <w:pPr>
      <w:widowControl w:val="0"/>
      <w:autoSpaceDE w:val="0"/>
      <w:autoSpaceDN w:val="0"/>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086DE6"/>
    <w:pPr>
      <w:keepNext/>
      <w:keepLines/>
      <w:widowControl/>
      <w:autoSpaceDE/>
      <w:autoSpaceDN/>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6DE6"/>
    <w:pPr>
      <w:keepNext/>
      <w:keepLines/>
      <w:widowControl/>
      <w:autoSpaceDE/>
      <w:autoSpaceDN/>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086DE6"/>
    <w:pPr>
      <w:keepNext/>
      <w:keepLines/>
      <w:widowControl/>
      <w:autoSpaceDE/>
      <w:autoSpaceDN/>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6DE6"/>
    <w:pPr>
      <w:keepNext/>
      <w:keepLines/>
      <w:widowControl/>
      <w:autoSpaceDE/>
      <w:autoSpaceDN/>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86DE6"/>
    <w:pPr>
      <w:keepNext/>
      <w:keepLines/>
      <w:widowControl/>
      <w:autoSpaceDE/>
      <w:autoSpaceDN/>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unhideWhenUsed/>
    <w:qFormat/>
    <w:rsid w:val="00086DE6"/>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86DE6"/>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86DE6"/>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86DE6"/>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6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6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6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6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6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DE6"/>
    <w:rPr>
      <w:rFonts w:eastAsiaTheme="majorEastAsia" w:cstheme="majorBidi"/>
      <w:color w:val="272727" w:themeColor="text1" w:themeTint="D8"/>
    </w:rPr>
  </w:style>
  <w:style w:type="paragraph" w:styleId="Title">
    <w:name w:val="Title"/>
    <w:basedOn w:val="Normal"/>
    <w:next w:val="Normal"/>
    <w:link w:val="TitleChar"/>
    <w:uiPriority w:val="10"/>
    <w:qFormat/>
    <w:rsid w:val="00086DE6"/>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6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DE6"/>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6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DE6"/>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86DE6"/>
    <w:rPr>
      <w:i/>
      <w:iCs/>
      <w:color w:val="404040" w:themeColor="text1" w:themeTint="BF"/>
    </w:rPr>
  </w:style>
  <w:style w:type="paragraph" w:styleId="ListParagraph">
    <w:name w:val="List Paragraph"/>
    <w:basedOn w:val="Normal"/>
    <w:uiPriority w:val="34"/>
    <w:qFormat/>
    <w:rsid w:val="00086DE6"/>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086DE6"/>
    <w:rPr>
      <w:i/>
      <w:iCs/>
      <w:color w:val="0F4761" w:themeColor="accent1" w:themeShade="BF"/>
    </w:rPr>
  </w:style>
  <w:style w:type="paragraph" w:styleId="IntenseQuote">
    <w:name w:val="Intense Quote"/>
    <w:basedOn w:val="Normal"/>
    <w:next w:val="Normal"/>
    <w:link w:val="IntenseQuoteChar"/>
    <w:uiPriority w:val="30"/>
    <w:qFormat/>
    <w:rsid w:val="00086DE6"/>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86DE6"/>
    <w:rPr>
      <w:i/>
      <w:iCs/>
      <w:color w:val="0F4761" w:themeColor="accent1" w:themeShade="BF"/>
    </w:rPr>
  </w:style>
  <w:style w:type="character" w:styleId="IntenseReference">
    <w:name w:val="Intense Reference"/>
    <w:basedOn w:val="DefaultParagraphFont"/>
    <w:uiPriority w:val="32"/>
    <w:qFormat/>
    <w:rsid w:val="00086DE6"/>
    <w:rPr>
      <w:b/>
      <w:bCs/>
      <w:smallCaps/>
      <w:color w:val="0F4761" w:themeColor="accent1" w:themeShade="BF"/>
      <w:spacing w:val="5"/>
    </w:rPr>
  </w:style>
  <w:style w:type="paragraph" w:styleId="BodyText">
    <w:name w:val="Body Text"/>
    <w:basedOn w:val="Normal"/>
    <w:link w:val="BodyTextChar"/>
    <w:uiPriority w:val="1"/>
    <w:qFormat/>
    <w:rsid w:val="00086DE6"/>
  </w:style>
  <w:style w:type="character" w:customStyle="1" w:styleId="BodyTextChar">
    <w:name w:val="Body Text Char"/>
    <w:basedOn w:val="DefaultParagraphFont"/>
    <w:link w:val="BodyText"/>
    <w:uiPriority w:val="1"/>
    <w:rsid w:val="00086DE6"/>
    <w:rPr>
      <w:rFonts w:ascii="Times New Roman" w:eastAsia="Times New Roman" w:hAnsi="Times New Roman" w:cs="Times New Roman"/>
      <w:kern w:val="0"/>
      <w:sz w:val="22"/>
      <w:szCs w:val="22"/>
      <w14:ligatures w14:val="none"/>
    </w:rPr>
  </w:style>
  <w:style w:type="paragraph" w:styleId="Header">
    <w:name w:val="header"/>
    <w:basedOn w:val="Normal"/>
    <w:link w:val="HeaderChar"/>
    <w:uiPriority w:val="99"/>
    <w:unhideWhenUsed/>
    <w:rsid w:val="0063398E"/>
    <w:pPr>
      <w:tabs>
        <w:tab w:val="center" w:pos="4680"/>
        <w:tab w:val="right" w:pos="9360"/>
      </w:tabs>
    </w:pPr>
  </w:style>
  <w:style w:type="character" w:customStyle="1" w:styleId="HeaderChar">
    <w:name w:val="Header Char"/>
    <w:basedOn w:val="DefaultParagraphFont"/>
    <w:link w:val="Header"/>
    <w:uiPriority w:val="99"/>
    <w:rsid w:val="0063398E"/>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63398E"/>
    <w:pPr>
      <w:tabs>
        <w:tab w:val="center" w:pos="4680"/>
        <w:tab w:val="right" w:pos="9360"/>
      </w:tabs>
    </w:pPr>
  </w:style>
  <w:style w:type="character" w:customStyle="1" w:styleId="FooterChar">
    <w:name w:val="Footer Char"/>
    <w:basedOn w:val="DefaultParagraphFont"/>
    <w:link w:val="Footer"/>
    <w:uiPriority w:val="99"/>
    <w:rsid w:val="0063398E"/>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794</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Smith</dc:creator>
  <cp:keywords/>
  <dc:description/>
  <cp:lastModifiedBy>R Smith</cp:lastModifiedBy>
  <cp:revision>3</cp:revision>
  <dcterms:created xsi:type="dcterms:W3CDTF">2024-06-04T14:32:00Z</dcterms:created>
  <dcterms:modified xsi:type="dcterms:W3CDTF">2024-06-06T12:22:00Z</dcterms:modified>
</cp:coreProperties>
</file>